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48C36" w14:textId="408907A3" w:rsidR="00C361B8" w:rsidRPr="008C42AA" w:rsidRDefault="00D57AB7" w:rsidP="004B0CF3">
      <w:pPr>
        <w:spacing w:line="23" w:lineRule="atLeast"/>
        <w:jc w:val="right"/>
        <w:rPr>
          <w:rFonts w:asciiTheme="minorHAnsi" w:hAnsiTheme="minorHAnsi" w:cstheme="minorHAnsi"/>
          <w:b/>
          <w:sz w:val="24"/>
          <w:lang w:val="el-GR"/>
        </w:rPr>
      </w:pPr>
      <w:r>
        <w:rPr>
          <w:rFonts w:asciiTheme="minorHAnsi" w:hAnsiTheme="minorHAnsi" w:cstheme="minorHAnsi"/>
          <w:b/>
          <w:sz w:val="24"/>
          <w:lang w:val="el-GR"/>
        </w:rPr>
        <w:t>2</w:t>
      </w:r>
      <w:r w:rsidR="008F42BB" w:rsidRPr="001207AA">
        <w:rPr>
          <w:rFonts w:asciiTheme="minorHAnsi" w:hAnsiTheme="minorHAnsi" w:cstheme="minorHAnsi"/>
          <w:b/>
          <w:sz w:val="24"/>
          <w:lang w:val="el-GR"/>
        </w:rPr>
        <w:t>6</w:t>
      </w:r>
      <w:r>
        <w:rPr>
          <w:rFonts w:asciiTheme="minorHAnsi" w:hAnsiTheme="minorHAnsi" w:cstheme="minorHAnsi"/>
          <w:b/>
          <w:sz w:val="24"/>
          <w:lang w:val="el-GR"/>
        </w:rPr>
        <w:t xml:space="preserve"> </w:t>
      </w:r>
      <w:r w:rsidR="008F42BB">
        <w:rPr>
          <w:rFonts w:asciiTheme="minorHAnsi" w:hAnsiTheme="minorHAnsi" w:cstheme="minorHAnsi"/>
          <w:b/>
          <w:sz w:val="24"/>
          <w:lang w:val="el-GR"/>
        </w:rPr>
        <w:t xml:space="preserve">Ιουλίου </w:t>
      </w:r>
      <w:r w:rsidR="004909DC" w:rsidRPr="008C42AA">
        <w:rPr>
          <w:rFonts w:asciiTheme="minorHAnsi" w:hAnsiTheme="minorHAnsi" w:cstheme="minorHAnsi"/>
          <w:b/>
          <w:sz w:val="24"/>
          <w:lang w:val="el-GR"/>
        </w:rPr>
        <w:t>202</w:t>
      </w:r>
      <w:r w:rsidR="00922FE2">
        <w:rPr>
          <w:rFonts w:asciiTheme="minorHAnsi" w:hAnsiTheme="minorHAnsi" w:cstheme="minorHAnsi"/>
          <w:b/>
          <w:sz w:val="24"/>
          <w:lang w:val="el-GR"/>
        </w:rPr>
        <w:t>1</w:t>
      </w:r>
    </w:p>
    <w:p w14:paraId="7C93C5A9" w14:textId="77777777" w:rsidR="00093DF3" w:rsidRPr="008C42AA" w:rsidRDefault="00093DF3" w:rsidP="00932370">
      <w:pPr>
        <w:spacing w:line="23" w:lineRule="atLeast"/>
        <w:jc w:val="center"/>
        <w:rPr>
          <w:rFonts w:asciiTheme="minorHAnsi" w:hAnsiTheme="minorHAnsi" w:cstheme="minorHAnsi"/>
          <w:b/>
          <w:sz w:val="24"/>
          <w:lang w:val="el-GR"/>
        </w:rPr>
      </w:pPr>
    </w:p>
    <w:p w14:paraId="4C12E0A0" w14:textId="77777777" w:rsidR="00C361B8" w:rsidRPr="008C42AA" w:rsidRDefault="00C361B8" w:rsidP="00932370">
      <w:pPr>
        <w:spacing w:line="23" w:lineRule="atLeast"/>
        <w:jc w:val="center"/>
        <w:rPr>
          <w:rFonts w:asciiTheme="minorHAnsi" w:hAnsiTheme="minorHAnsi" w:cstheme="minorHAnsi"/>
          <w:b/>
          <w:sz w:val="24"/>
          <w:lang w:val="el-GR"/>
        </w:rPr>
      </w:pPr>
      <w:r w:rsidRPr="008C42AA">
        <w:rPr>
          <w:rFonts w:asciiTheme="minorHAnsi" w:hAnsiTheme="minorHAnsi" w:cstheme="minorHAnsi"/>
          <w:b/>
          <w:sz w:val="24"/>
          <w:lang w:val="el-GR"/>
        </w:rPr>
        <w:t>Δελτίο τύπου</w:t>
      </w:r>
    </w:p>
    <w:p w14:paraId="208256A2" w14:textId="77777777" w:rsidR="003D29A7" w:rsidRDefault="003D29A7" w:rsidP="007F50FE">
      <w:pPr>
        <w:pStyle w:val="maintext"/>
        <w:suppressAutoHyphens/>
        <w:spacing w:after="0"/>
        <w:rPr>
          <w:rFonts w:asciiTheme="minorHAnsi" w:hAnsiTheme="minorHAnsi" w:cstheme="minorHAnsi"/>
          <w:sz w:val="20"/>
          <w:szCs w:val="20"/>
        </w:rPr>
      </w:pPr>
    </w:p>
    <w:p w14:paraId="1F0F0FAE" w14:textId="5387AAD7" w:rsidR="008F42BB" w:rsidRDefault="008F42BB" w:rsidP="008F42BB">
      <w:pPr>
        <w:pStyle w:val="maintext"/>
        <w:suppressAutoHyphens/>
        <w:spacing w:after="0"/>
      </w:pPr>
      <w:r>
        <w:t xml:space="preserve">Η αισιοδοξία των συμβούλων μάνατζμεντ για την εξέλιξη των θεμελιωδών οικονομικών μεγεθών και των παραγωγικών συντελεστών στην Ελλάδα τους επόμενους 12 μήνες ενισχύθηκε εντυπωσιακά το δεύτερο τρίμηνο του 2021. Η διαπίστωση αυτή ισχύει τόσο σε σχέση με το προηγούμενο τρίμηνο, ακόμα δε περισσότερο σε σχέση με το δεύτερο τρίμηνο του 2020. Συγκεκριμένα, ο </w:t>
      </w:r>
      <w:r w:rsidRPr="00EE3C2C">
        <w:rPr>
          <w:b/>
        </w:rPr>
        <w:t>Γενικός Δείκτης</w:t>
      </w:r>
      <w:r w:rsidRPr="00EE3C2C">
        <w:t xml:space="preserve"> </w:t>
      </w:r>
      <w:r w:rsidRPr="00EE3C2C">
        <w:rPr>
          <w:b/>
          <w:bCs/>
          <w:color w:val="0070C0"/>
          <w:lang w:bidi="ar-TN"/>
        </w:rPr>
        <w:t>GR</w:t>
      </w:r>
      <w:r w:rsidRPr="00EE3C2C">
        <w:rPr>
          <w:b/>
          <w:bCs/>
          <w:color w:val="9C9984"/>
          <w:lang w:bidi="ar-TN"/>
        </w:rPr>
        <w:t>e</w:t>
      </w:r>
      <w:r w:rsidRPr="00EE3C2C">
        <w:rPr>
          <w:b/>
          <w:bCs/>
          <w:color w:val="96276C"/>
          <w:lang w:bidi="ar-TN"/>
        </w:rPr>
        <w:t>+1</w:t>
      </w:r>
      <w:r w:rsidRPr="00D8412E">
        <w:rPr>
          <w:bCs/>
          <w:color w:val="96276C"/>
          <w:lang w:bidi="ar-TN"/>
        </w:rPr>
        <w:t xml:space="preserve">, </w:t>
      </w:r>
      <w:r w:rsidRPr="000D218D">
        <w:t xml:space="preserve">ο οποίος </w:t>
      </w:r>
      <w:r w:rsidRPr="0055622B">
        <w:t xml:space="preserve">είναι ο μέσος των δεικτών Οικονομικής Συγκυρίας και Παραγωγικών Συντελεστών, διαμορφώθηκε σε </w:t>
      </w:r>
      <w:r>
        <w:t>52,9</w:t>
      </w:r>
      <w:r w:rsidRPr="0055622B">
        <w:t xml:space="preserve">%, έναντι τιμής </w:t>
      </w:r>
      <w:r>
        <w:t>38,3</w:t>
      </w:r>
      <w:r w:rsidRPr="0055622B">
        <w:t xml:space="preserve">% που είχε στο τέλος </w:t>
      </w:r>
      <w:r>
        <w:t>Μαρτίου</w:t>
      </w:r>
      <w:r w:rsidRPr="002538F5">
        <w:t xml:space="preserve"> 2021, </w:t>
      </w:r>
      <w:r>
        <w:t>και 27,5% πριν από ένα έτος. Η τιμή αυτή είναι η δεύτερη υψηλότερη από το πρώτο τρίμηνο του 2014 όταν ξεκίνησε η δημοσιοποίηση του Βαρομέτρου του ΣΕΣΜΑ.</w:t>
      </w:r>
    </w:p>
    <w:p w14:paraId="1FD93EDC" w14:textId="77777777" w:rsidR="008F42BB" w:rsidRDefault="008F42BB" w:rsidP="008F42BB">
      <w:pPr>
        <w:pStyle w:val="maintext"/>
        <w:suppressAutoHyphens/>
        <w:spacing w:after="0"/>
      </w:pPr>
    </w:p>
    <w:p w14:paraId="6C4D3DAF" w14:textId="77777777" w:rsidR="008F42BB" w:rsidRPr="0080434C" w:rsidRDefault="008F42BB" w:rsidP="008F42BB">
      <w:pPr>
        <w:pStyle w:val="maintext"/>
        <w:suppressAutoHyphens/>
        <w:spacing w:after="0"/>
      </w:pPr>
      <w:r>
        <w:t xml:space="preserve">Η βελτιωμένη αυτή εικόνα, την οποία είχαμε προβλέψει στην έκθεση για το τέταρτο τρίμηνο του 2020, οφείλεται στην μέχρι πρότινος ύφεση της πανδημίας και στις θετικές προοπτικές που διανοίγονται για την ελληνική οικονομία το δεύτερο εξάμηνο του έτους. Οι αίσιες αυτές προοπτικές συνδέονται με το Ταμείο Ανάκαμψης, την προώθηση εμβληματικών επενδυτικών σχεδίων και τις προβλέψεις για ταχεία ανάκαμψη της οικονομίας. Οι εξελίξεις αυτές συνδέονται και με τις βελτιωμένες προβλέψεις για τους παραγωγικούς συντελεστές. </w:t>
      </w:r>
    </w:p>
    <w:p w14:paraId="6A445284" w14:textId="77777777" w:rsidR="008F42BB" w:rsidRPr="00615095" w:rsidRDefault="008F42BB" w:rsidP="008F42BB">
      <w:pPr>
        <w:pStyle w:val="maintext"/>
        <w:suppressAutoHyphens/>
        <w:spacing w:after="0"/>
      </w:pPr>
    </w:p>
    <w:p w14:paraId="5A1E7A2D" w14:textId="77777777" w:rsidR="008F42BB" w:rsidRPr="004B6C40" w:rsidRDefault="008F42BB" w:rsidP="008F42BB">
      <w:pPr>
        <w:pStyle w:val="maintext"/>
        <w:suppressAutoHyphens/>
        <w:spacing w:after="0"/>
      </w:pPr>
      <w:r>
        <w:t>Ωστόσο, εξακολουθεί να ισχύει η επισήμανση της προηγούμενης έκθεσης ότι</w:t>
      </w:r>
      <w:r w:rsidRPr="008E5FA9">
        <w:t xml:space="preserve"> </w:t>
      </w:r>
      <w:r>
        <w:t>« … οι επιχειρηματικές προσδοκίες, ιδιαίτερα αυτές που αφορούν τις επενδύσεις, παρουσιάζουν εκ φύσεως μεγάλο βαθμό μεταβλητότητας. Είναι συνεπώς πιθανόν μία επιδείνωση των επιδημιολογικών δεδομένων και η λήψη νέων μέτρων για την αντιμετώπιση της πανδημίας να περιορίσει την αισιοδοξία τα επόμενα τρίμηνα.»</w:t>
      </w:r>
    </w:p>
    <w:p w14:paraId="66EA25E8" w14:textId="77777777" w:rsidR="00922FE2" w:rsidRDefault="00922FE2" w:rsidP="00922FE2">
      <w:pPr>
        <w:pStyle w:val="maintext"/>
        <w:suppressAutoHyphens/>
        <w:spacing w:after="0"/>
      </w:pPr>
    </w:p>
    <w:p w14:paraId="34A68875" w14:textId="77777777" w:rsidR="00A57F70" w:rsidRPr="007F50FE" w:rsidRDefault="00A57F70" w:rsidP="00932370">
      <w:pPr>
        <w:suppressAutoHyphens/>
        <w:autoSpaceDE w:val="0"/>
        <w:autoSpaceDN w:val="0"/>
        <w:adjustRightInd w:val="0"/>
        <w:spacing w:line="23" w:lineRule="atLeast"/>
        <w:jc w:val="center"/>
        <w:textAlignment w:val="center"/>
        <w:rPr>
          <w:rFonts w:asciiTheme="minorHAnsi" w:hAnsiTheme="minorHAnsi" w:cstheme="minorHAnsi"/>
          <w:lang w:val="el-GR"/>
        </w:rPr>
      </w:pPr>
      <w:r w:rsidRPr="007F50FE">
        <w:rPr>
          <w:rFonts w:asciiTheme="minorHAnsi" w:hAnsiTheme="minorHAnsi" w:cstheme="minorHAnsi"/>
          <w:b/>
          <w:bCs/>
          <w:caps/>
          <w:color w:val="9B9984"/>
          <w:lang w:val="el-GR"/>
        </w:rPr>
        <w:t xml:space="preserve">Γενικός Δείκτης </w:t>
      </w:r>
      <w:r w:rsidRPr="007F50FE">
        <w:rPr>
          <w:rFonts w:asciiTheme="minorHAnsi" w:hAnsiTheme="minorHAnsi" w:cstheme="minorHAnsi"/>
          <w:b/>
          <w:bCs/>
          <w:color w:val="0070C0"/>
          <w:lang w:bidi="ar-TN"/>
        </w:rPr>
        <w:t>GR</w:t>
      </w:r>
      <w:r w:rsidRPr="007F50FE">
        <w:rPr>
          <w:rFonts w:asciiTheme="minorHAnsi" w:hAnsiTheme="minorHAnsi" w:cstheme="minorHAnsi"/>
          <w:b/>
          <w:bCs/>
          <w:color w:val="9C9984"/>
          <w:lang w:bidi="ar-TN"/>
        </w:rPr>
        <w:t>e</w:t>
      </w:r>
      <w:r w:rsidRPr="007F50FE">
        <w:rPr>
          <w:rFonts w:asciiTheme="minorHAnsi" w:hAnsiTheme="minorHAnsi" w:cstheme="minorHAnsi"/>
          <w:b/>
          <w:bCs/>
          <w:color w:val="96276C"/>
          <w:lang w:val="el-GR" w:bidi="ar-TN"/>
        </w:rPr>
        <w:t>+1</w:t>
      </w:r>
    </w:p>
    <w:p w14:paraId="73CDC758" w14:textId="77777777" w:rsidR="00A57F70" w:rsidRPr="00D62195" w:rsidRDefault="00A57F70" w:rsidP="00932370">
      <w:pPr>
        <w:suppressAutoHyphens/>
        <w:autoSpaceDE w:val="0"/>
        <w:autoSpaceDN w:val="0"/>
        <w:adjustRightInd w:val="0"/>
        <w:spacing w:line="23" w:lineRule="atLeast"/>
        <w:textAlignment w:val="center"/>
        <w:rPr>
          <w:rFonts w:asciiTheme="minorHAnsi" w:hAnsiTheme="minorHAnsi" w:cstheme="minorHAnsi"/>
          <w:lang w:val="el-GR"/>
        </w:rPr>
      </w:pPr>
      <w:r w:rsidRPr="007F50FE">
        <w:rPr>
          <w:rFonts w:asciiTheme="minorHAnsi" w:hAnsiTheme="minorHAnsi" w:cstheme="minorHAnsi"/>
          <w:lang w:val="el-GR"/>
        </w:rPr>
        <w:t xml:space="preserve">  </w:t>
      </w:r>
      <w:r w:rsidRPr="007F50FE">
        <w:rPr>
          <w:rFonts w:asciiTheme="minorHAnsi" w:hAnsiTheme="minorHAnsi" w:cstheme="minorHAnsi"/>
          <w:sz w:val="18"/>
          <w:szCs w:val="18"/>
          <w:lang w:val="el-GR"/>
        </w:rPr>
        <w:t xml:space="preserve"> %</w:t>
      </w:r>
    </w:p>
    <w:p w14:paraId="100A8CF5" w14:textId="7D70B0DA" w:rsidR="00DE4FF6" w:rsidRDefault="008F42BB" w:rsidP="00DE4FF6">
      <w:pPr>
        <w:pStyle w:val="maintext"/>
        <w:keepLines/>
        <w:suppressAutoHyphens/>
        <w:rPr>
          <w:noProof/>
          <w:lang w:eastAsia="el-GR"/>
        </w:rPr>
      </w:pPr>
      <w:r>
        <w:rPr>
          <w:noProof/>
          <w:lang w:eastAsia="el-GR"/>
        </w:rPr>
        <w:drawing>
          <wp:inline distT="0" distB="0" distL="0" distR="0" wp14:anchorId="4452540E" wp14:editId="45D87337">
            <wp:extent cx="5772150" cy="2743200"/>
            <wp:effectExtent l="0" t="0" r="0" b="0"/>
            <wp:docPr id="8" name="Γράφημα 8">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D85389D-1C6B-44D6-8EA6-D265D44FAB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D64A2D8" w14:textId="77777777" w:rsidR="007F50FE" w:rsidRDefault="007F50FE" w:rsidP="00922FE2">
      <w:pPr>
        <w:pStyle w:val="maintext"/>
        <w:suppressAutoHyphens/>
        <w:spacing w:after="0"/>
      </w:pPr>
    </w:p>
    <w:p w14:paraId="4B7CDD7D" w14:textId="7ACE134C" w:rsidR="006106C5" w:rsidRPr="00A1068A" w:rsidRDefault="008F42BB" w:rsidP="006106C5">
      <w:pPr>
        <w:pStyle w:val="maintext"/>
        <w:suppressAutoHyphens/>
        <w:spacing w:after="0"/>
      </w:pPr>
      <w:bookmarkStart w:id="0" w:name="_GoBack"/>
      <w:r>
        <w:t xml:space="preserve">Το δεύτερο τρίμηνο του έτους καταγράφηκε εντυπωσιακή τόνωση της αισιοδοξίας των συμβούλων μάνατζμεντ για τις εξελίξεις στην ελληνική οικονομία κατά τους επόμενους 12 μήνες. Συγκεκριμένα, ο </w:t>
      </w:r>
      <w:r w:rsidRPr="00517610">
        <w:rPr>
          <w:b/>
          <w:bCs/>
        </w:rPr>
        <w:t>Δείκτης Οικονομικής Συγκυρίας</w:t>
      </w:r>
      <w:r>
        <w:t xml:space="preserve"> εκτινάχθηκε από 36,9% στο τέλος Μαρτίου 2021 σε 57,8%, που είναι η υψηλότερη τιμή από το πρώτο τρίμηνο του 2014 όταν ξεκίνησε η δημοσιοποίηση του Βαρομέτρου σου ΣΕΣΜΑ. Υπογραμμίζεται ότι η θεαματική αυτή βελτίωση των προσδοκιών αφορά όλες τις συνιστώσες του δείκτη, δηλαδή</w:t>
      </w:r>
      <w:r w:rsidRPr="00510565">
        <w:t xml:space="preserve">: </w:t>
      </w:r>
      <w:r>
        <w:t>τον ρυθμό οικονομικής μεγέθυνσης, την ανεργία, την ιδιωτική επενδυτική δραστηριότητα σε πάγια, τις εξαγωγές προϊόντων και υπηρεσιών, με εξαίρεση τον πληθωρισμό για τον οποίο καταγράφονται τάσεις ανόδου. Η τόνωση αυτή της αισιοδοξίας είναι ακόμα μεγαλύτερη εάν συγκριθεί με το δεύτερο τρίμηνο του 2020 όταν ο Δείκτης Οικονομικής Συγκυρίας είχε τιμή μόλις 18,3%.</w:t>
      </w:r>
      <w:r w:rsidR="006106C5">
        <w:t xml:space="preserve"> Η βελτίωση αυτή των προσδοκιών συνδέεται ασφαλώς με τις αίσιες προβλέψεις, τόσο της κυβέρνησης, όσο και διεθνών οργανισμών, για τον ρυθμό αύξησης του ΑΕΠ το δεύτερο εξάμηνο του 2021 και εντεύθεν. Συνδέεται επίσης και με το γεγονός ότι η ύφεση του πρώτου τριμήνου 2021 ήταν περιορισμένη, καθώς και με το ότι μία σειρά από δείκτες οικονομικής δραστηριότητας, π.χ. ο όγκος των πωλήσεων στο λιανεμπόριο, δημιουργούν αισιοδοξία. Δεν πρέπει να παραγνωρίζεται επίσης ο ρόλος του Ταμείου Ανάκαμψης στη βελτίωση των προσδοκιών και η εξαγγελία εμβληματικών επενδυτικών σχεδίων.</w:t>
      </w:r>
    </w:p>
    <w:p w14:paraId="4ECD5401" w14:textId="77777777" w:rsidR="007F50FE" w:rsidRPr="007F50FE" w:rsidRDefault="007F50FE" w:rsidP="007F50FE">
      <w:pPr>
        <w:pStyle w:val="maintext"/>
        <w:suppressAutoHyphens/>
        <w:spacing w:after="0"/>
      </w:pPr>
    </w:p>
    <w:p w14:paraId="201B2F08" w14:textId="77777777" w:rsidR="008F42BB" w:rsidRPr="004B6C40" w:rsidRDefault="008F42BB" w:rsidP="008F42BB">
      <w:pPr>
        <w:pStyle w:val="maintext"/>
        <w:suppressAutoHyphens/>
        <w:spacing w:after="0"/>
      </w:pPr>
      <w:r>
        <w:t xml:space="preserve">Πρέπει ωστόσο να υπογραμμισθεί ότι οι επιχειρηματικές προσδοκίες, ιδιαίτερα αυτές που αφορούν τις επενδύσεις, παρουσιάζουν εκ φύσεως μεγάλο βαθμό μεταβλητότητας. Είναι συνεπώς πιθανόν μία επιδείνωση των επιδημιολογικών δεδομένων και η λήψη μέτρων για την αντιμετώπιση της πανδημίας να περιορίσει την αισιοδοξία τα επόμενα τρίμηνα. </w:t>
      </w:r>
    </w:p>
    <w:bookmarkEnd w:id="0"/>
    <w:p w14:paraId="49E7149F" w14:textId="77777777" w:rsidR="00AC755B" w:rsidRDefault="00AC755B" w:rsidP="00932370">
      <w:pPr>
        <w:pStyle w:val="maintext"/>
        <w:suppressAutoHyphens/>
        <w:spacing w:after="0" w:line="23" w:lineRule="atLeast"/>
      </w:pPr>
    </w:p>
    <w:p w14:paraId="410EF367" w14:textId="77777777" w:rsidR="00D7440B" w:rsidRPr="008C42AA" w:rsidRDefault="00D7440B" w:rsidP="00932370">
      <w:pPr>
        <w:pStyle w:val="charttitle"/>
        <w:spacing w:line="23" w:lineRule="atLeast"/>
        <w:jc w:val="center"/>
        <w:rPr>
          <w:rFonts w:asciiTheme="minorHAnsi" w:hAnsiTheme="minorHAnsi" w:cstheme="minorHAnsi"/>
          <w:b/>
          <w:bCs/>
          <w:sz w:val="20"/>
          <w:szCs w:val="20"/>
        </w:rPr>
      </w:pPr>
      <w:r w:rsidRPr="007F50FE">
        <w:rPr>
          <w:rFonts w:asciiTheme="minorHAnsi" w:hAnsiTheme="minorHAnsi" w:cstheme="minorHAnsi"/>
          <w:noProof/>
          <w:sz w:val="20"/>
          <w:szCs w:val="20"/>
          <w:lang w:eastAsia="el-GR"/>
        </w:rPr>
        <mc:AlternateContent>
          <mc:Choice Requires="wps">
            <w:drawing>
              <wp:anchor distT="0" distB="0" distL="114300" distR="114300" simplePos="0" relativeHeight="251687936" behindDoc="0" locked="0" layoutInCell="1" allowOverlap="1" wp14:anchorId="0272C103" wp14:editId="07633A81">
                <wp:simplePos x="0" y="0"/>
                <wp:positionH relativeFrom="column">
                  <wp:posOffset>1905</wp:posOffset>
                </wp:positionH>
                <wp:positionV relativeFrom="paragraph">
                  <wp:posOffset>130175</wp:posOffset>
                </wp:positionV>
                <wp:extent cx="341630" cy="31242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341630" cy="312420"/>
                        </a:xfrm>
                        <a:prstGeom prst="rect">
                          <a:avLst/>
                        </a:prstGeom>
                        <a:noFill/>
                        <a:ln w="6350">
                          <a:noFill/>
                        </a:ln>
                        <a:effectLst/>
                      </wps:spPr>
                      <wps:txbx>
                        <w:txbxContent>
                          <w:p w14:paraId="770C5E67" w14:textId="62FE8B45" w:rsidR="008D395D" w:rsidRPr="00225C04" w:rsidRDefault="008D395D" w:rsidP="00D7440B">
                            <w:pPr>
                              <w:autoSpaceDE w:val="0"/>
                              <w:autoSpaceDN w:val="0"/>
                              <w:adjustRightInd w:val="0"/>
                              <w:spacing w:after="170" w:line="300" w:lineRule="atLeast"/>
                              <w:textAlignment w:val="center"/>
                              <w:rPr>
                                <w:rFonts w:ascii="Calibri" w:hAnsi="Calibri" w:cs="Calibri"/>
                                <w:bCs/>
                                <w:color w:val="000000" w:themeColor="text1"/>
                                <w:szCs w:val="28"/>
                                <w:lang w:val="en-US"/>
                              </w:rPr>
                            </w:pPr>
                            <w:r w:rsidRPr="00DE4FF6">
                              <w:rPr>
                                <w:rFonts w:ascii="Calibri" w:hAnsi="Calibri" w:cs="Calibri"/>
                                <w:bCs/>
                                <w:color w:val="000000" w:themeColor="text1"/>
                                <w:sz w:val="18"/>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72C103" id="_x0000_t202" coordsize="21600,21600" o:spt="202" path="m,l,21600r21600,l21600,xe">
                <v:stroke joinstyle="miter"/>
                <v:path gradientshapeok="t" o:connecttype="rect"/>
              </v:shapetype>
              <v:shape id="Text Box 38" o:spid="_x0000_s1026" type="#_x0000_t202" style="position:absolute;left:0;text-align:left;margin-left:.15pt;margin-top:10.25pt;width:26.9pt;height:24.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" filled="f" stroked="f" strokeweight=".5pt">
                <v:textbox>
                  <w:txbxContent>
                    <w:p w14:paraId="770C5E67" w14:textId="62FE8B45" w:rsidR="008D395D" w:rsidRPr="00225C04" w:rsidRDefault="008D395D" w:rsidP="00D7440B">
                      <w:pPr>
                        <w:autoSpaceDE w:val="0"/>
                        <w:autoSpaceDN w:val="0"/>
                        <w:adjustRightInd w:val="0"/>
                        <w:spacing w:after="170" w:line="300" w:lineRule="atLeast"/>
                        <w:textAlignment w:val="center"/>
                        <w:rPr>
                          <w:rFonts w:ascii="Calibri" w:hAnsi="Calibri" w:cs="Calibri"/>
                          <w:bCs/>
                          <w:color w:val="000000" w:themeColor="text1"/>
                          <w:szCs w:val="28"/>
                          <w:lang w:val="en-US"/>
                        </w:rPr>
                      </w:pPr>
                      <w:r w:rsidRPr="00DE4FF6">
                        <w:rPr>
                          <w:rFonts w:ascii="Calibri" w:hAnsi="Calibri" w:cs="Calibri"/>
                          <w:bCs/>
                          <w:color w:val="000000" w:themeColor="text1"/>
                          <w:sz w:val="18"/>
                          <w:szCs w:val="24"/>
                          <w:lang w:val="en-US"/>
                        </w:rPr>
                        <w:t>%</w:t>
                      </w:r>
                    </w:p>
                  </w:txbxContent>
                </v:textbox>
              </v:shape>
            </w:pict>
          </mc:Fallback>
        </mc:AlternateContent>
      </w:r>
      <w:r w:rsidRPr="007F50FE">
        <w:rPr>
          <w:rFonts w:asciiTheme="minorHAnsi" w:hAnsiTheme="minorHAnsi" w:cstheme="minorHAnsi"/>
          <w:b/>
          <w:bCs/>
          <w:color w:val="0070C0"/>
          <w:sz w:val="20"/>
          <w:szCs w:val="20"/>
        </w:rPr>
        <w:t xml:space="preserve">δεικτησ </w:t>
      </w:r>
      <w:r w:rsidRPr="007F50FE">
        <w:rPr>
          <w:rFonts w:asciiTheme="minorHAnsi" w:hAnsiTheme="minorHAnsi" w:cstheme="minorHAnsi"/>
          <w:b/>
          <w:bCs/>
          <w:sz w:val="20"/>
          <w:szCs w:val="20"/>
        </w:rPr>
        <w:t>OIKONOMIKHΣ ΣΥΓΚΥΡΙΑΣ</w:t>
      </w:r>
    </w:p>
    <w:p w14:paraId="759C8683" w14:textId="32ED8C0E" w:rsidR="00D7440B" w:rsidRPr="00DE4FF6" w:rsidRDefault="008F42BB" w:rsidP="00932370">
      <w:pPr>
        <w:pStyle w:val="charttitle"/>
        <w:spacing w:line="23" w:lineRule="atLeast"/>
        <w:rPr>
          <w:rFonts w:asciiTheme="minorHAnsi" w:hAnsiTheme="minorHAnsi" w:cstheme="minorHAnsi"/>
          <w:b/>
          <w:bCs/>
          <w:sz w:val="20"/>
          <w:szCs w:val="20"/>
        </w:rPr>
      </w:pPr>
      <w:r>
        <w:rPr>
          <w:noProof/>
          <w:lang w:eastAsia="el-GR"/>
        </w:rPr>
        <mc:AlternateContent>
          <mc:Choice Requires="wps">
            <w:drawing>
              <wp:anchor distT="0" distB="0" distL="114300" distR="114300" simplePos="0" relativeHeight="251689984" behindDoc="0" locked="0" layoutInCell="1" allowOverlap="1" wp14:anchorId="5E22B6A6" wp14:editId="74C5D5AB">
                <wp:simplePos x="0" y="0"/>
                <wp:positionH relativeFrom="column">
                  <wp:posOffset>0</wp:posOffset>
                </wp:positionH>
                <wp:positionV relativeFrom="paragraph">
                  <wp:posOffset>-635</wp:posOffset>
                </wp:positionV>
                <wp:extent cx="8901" cy="2725945"/>
                <wp:effectExtent l="0" t="0" r="16510" b="17780"/>
                <wp:wrapNone/>
                <wp:docPr id="2" name="Ευθεία γραμμή σύνδεσης 1"/>
                <wp:cNvGraphicFramePr/>
                <a:graphic xmlns:a="http://schemas.openxmlformats.org/drawingml/2006/main">
                  <a:graphicData uri="http://schemas.microsoft.com/office/word/2010/wordprocessingShape">
                    <wps:wsp>
                      <wps:cNvCnPr/>
                      <wps:spPr>
                        <a:xfrm>
                          <a:off x="0" y="0"/>
                          <a:ext cx="8901" cy="2725945"/>
                        </a:xfrm>
                        <a:prstGeom prst="line">
                          <a:avLst/>
                        </a:prstGeom>
                        <a:ln w="889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9590C3" id="Ευθεία γραμμή σύνδεσης 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05pt" to=".7pt,2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" strokecolor="white [3212]" strokeweight=".7pt"/>
            </w:pict>
          </mc:Fallback>
        </mc:AlternateContent>
      </w:r>
    </w:p>
    <w:p w14:paraId="10E15677" w14:textId="42F04622" w:rsidR="00D7440B" w:rsidRDefault="00D7440B" w:rsidP="00932370">
      <w:pPr>
        <w:pStyle w:val="maintext"/>
        <w:suppressAutoHyphens/>
        <w:spacing w:after="0" w:line="23" w:lineRule="atLeast"/>
      </w:pPr>
    </w:p>
    <w:p w14:paraId="2A7166FD" w14:textId="461CA30D" w:rsidR="00DE4FF6" w:rsidRDefault="008F42BB" w:rsidP="00DE4FF6">
      <w:pPr>
        <w:pStyle w:val="Mpeztitles"/>
        <w:jc w:val="center"/>
        <w:rPr>
          <w:bCs/>
          <w:highlight w:val="yellow"/>
        </w:rPr>
      </w:pPr>
      <w:r>
        <w:rPr>
          <w:noProof/>
          <w:lang w:eastAsia="el-GR"/>
        </w:rPr>
        <w:drawing>
          <wp:inline distT="0" distB="0" distL="0" distR="0" wp14:anchorId="53A80270" wp14:editId="5954C1DB">
            <wp:extent cx="5918200" cy="2743200"/>
            <wp:effectExtent l="0" t="0" r="6350" b="0"/>
            <wp:docPr id="14" name="Γράφημα 1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3E5C439-F773-4E8C-A42D-B107A16309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A820045" w14:textId="77777777" w:rsidR="008F42BB" w:rsidRDefault="008F42BB" w:rsidP="008F42BB">
      <w:pPr>
        <w:pStyle w:val="maintext"/>
        <w:suppressAutoHyphens/>
        <w:spacing w:after="0"/>
        <w:rPr>
          <w:lang w:eastAsia="el-GR"/>
        </w:rPr>
      </w:pPr>
    </w:p>
    <w:p w14:paraId="678384CB" w14:textId="70C5ACC5" w:rsidR="008F42BB" w:rsidRPr="005F79B7" w:rsidRDefault="008F42BB" w:rsidP="008F42BB">
      <w:pPr>
        <w:pStyle w:val="maintext"/>
        <w:suppressAutoHyphens/>
        <w:spacing w:after="0"/>
        <w:rPr>
          <w:lang w:eastAsia="el-GR"/>
        </w:rPr>
      </w:pPr>
      <w:r>
        <w:rPr>
          <w:lang w:eastAsia="el-GR"/>
        </w:rPr>
        <w:t>Εντονότερη αισιοδοξία καταγράφηκε το δεύτερο τρίμηνο 2021 και όσον αφορά τις προοπτικές των συντελεστών της παραγωγής ένα έτος από τώρα. Συγκεκριμένα, ο</w:t>
      </w:r>
      <w:r w:rsidRPr="00EE3C2C">
        <w:rPr>
          <w:lang w:eastAsia="el-GR"/>
        </w:rPr>
        <w:t xml:space="preserve"> μέσος όρος της διαφοράς «</w:t>
      </w:r>
      <w:r>
        <w:rPr>
          <w:lang w:eastAsia="el-GR"/>
        </w:rPr>
        <w:t>αισιοδοξίας</w:t>
      </w:r>
      <w:r w:rsidRPr="00EE3C2C">
        <w:rPr>
          <w:lang w:eastAsia="el-GR"/>
        </w:rPr>
        <w:t>» και «</w:t>
      </w:r>
      <w:r>
        <w:rPr>
          <w:lang w:eastAsia="el-GR"/>
        </w:rPr>
        <w:t>απαισιοδοξίας</w:t>
      </w:r>
      <w:r w:rsidRPr="00EE3C2C">
        <w:rPr>
          <w:lang w:eastAsia="el-GR"/>
        </w:rPr>
        <w:t xml:space="preserve">» </w:t>
      </w:r>
      <w:r>
        <w:rPr>
          <w:lang w:eastAsia="el-GR"/>
        </w:rPr>
        <w:t xml:space="preserve">για τις μεταβλητές που απαρτίζουν το </w:t>
      </w:r>
      <w:r w:rsidRPr="00517610">
        <w:rPr>
          <w:b/>
          <w:bCs/>
          <w:lang w:eastAsia="el-GR"/>
        </w:rPr>
        <w:t>Δείκτη Παραγωγικών Συντελεστών</w:t>
      </w:r>
      <w:r w:rsidRPr="00EE3C2C">
        <w:rPr>
          <w:lang w:eastAsia="el-GR"/>
        </w:rPr>
        <w:t xml:space="preserve"> (ανθρώπινο δυναμικό, συνθήκες χρηματοδότησης, δημόσιες υποδομές, </w:t>
      </w:r>
      <w:r w:rsidRPr="00EE3C2C">
        <w:t>επιχειρηματικότητα και θεσμικό πλαίσιο)</w:t>
      </w:r>
      <w:r>
        <w:t xml:space="preserve"> αυξήθηκε από 39,7% στο τέλος του προηγουμένου τριμήνου σε 49,7% στο τέλος Ιουνίου. Η ενίσχυση αυτή της αισιοδοξίας ισχύει για όλες τις συνιστώσες του δείκτη που αναφέρθηκαν, εξαιρουμένου του θεσμικού πλαισίου. Η βελτίωση μάλιστα των προσδοκιών ήταν μεγαλύτερη σε σχέση με το δεύτερο τρίμηνο του 2020, όταν ο δείκτης είχε λάβει τιμή 36,6%. Προφανώς οι εξελίξεις αυτές σχετίζονται στενά με τη βελτίωση των προσδοκιών για τα βασικά οικονομικά μεγέθη, οι οποίες αναλύθηκαν στο προηγούμενο τμήμα. Οι δύο δείκτες συνδέονται και αλληλοεπηρεάζονται. </w:t>
      </w:r>
    </w:p>
    <w:p w14:paraId="3B8A4473" w14:textId="77777777" w:rsidR="008F42BB" w:rsidRDefault="008F42BB" w:rsidP="008F42BB">
      <w:pPr>
        <w:pStyle w:val="maintext"/>
        <w:suppressAutoHyphens/>
        <w:spacing w:after="0"/>
      </w:pPr>
    </w:p>
    <w:p w14:paraId="4270CE69" w14:textId="77777777" w:rsidR="008F42BB" w:rsidRDefault="008F42BB" w:rsidP="008F42BB">
      <w:pPr>
        <w:spacing w:line="300" w:lineRule="atLeast"/>
        <w:jc w:val="center"/>
        <w:rPr>
          <w:rFonts w:ascii="Calibri" w:hAnsi="Calibri" w:cs="Calibri"/>
          <w:b/>
          <w:caps/>
          <w:color w:val="9B9984"/>
          <w:spacing w:val="-1"/>
        </w:rPr>
      </w:pPr>
      <w:r w:rsidRPr="001C4B53">
        <w:rPr>
          <w:rFonts w:ascii="Calibri" w:hAnsi="Calibri" w:cs="Calibri"/>
          <w:b/>
          <w:caps/>
          <w:noProof/>
          <w:color w:val="9B9984"/>
          <w:spacing w:val="-1"/>
          <w:lang w:val="el-GR"/>
        </w:rPr>
        <mc:AlternateContent>
          <mc:Choice Requires="wps">
            <w:drawing>
              <wp:anchor distT="0" distB="0" distL="114300" distR="114300" simplePos="0" relativeHeight="251692032" behindDoc="0" locked="0" layoutInCell="1" allowOverlap="1" wp14:anchorId="6311C82E" wp14:editId="3C3972C4">
                <wp:simplePos x="0" y="0"/>
                <wp:positionH relativeFrom="column">
                  <wp:posOffset>120015</wp:posOffset>
                </wp:positionH>
                <wp:positionV relativeFrom="paragraph">
                  <wp:posOffset>81915</wp:posOffset>
                </wp:positionV>
                <wp:extent cx="288925" cy="2984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288925" cy="298450"/>
                        </a:xfrm>
                        <a:prstGeom prst="rect">
                          <a:avLst/>
                        </a:prstGeom>
                        <a:noFill/>
                        <a:ln w="6350">
                          <a:noFill/>
                        </a:ln>
                        <a:effectLst/>
                      </wps:spPr>
                      <wps:txbx>
                        <w:txbxContent>
                          <w:p w14:paraId="749DA7B2" w14:textId="77777777" w:rsidR="008F42BB" w:rsidRPr="001C4B53" w:rsidRDefault="008F42BB" w:rsidP="008F42BB">
                            <w:pPr>
                              <w:autoSpaceDE w:val="0"/>
                              <w:autoSpaceDN w:val="0"/>
                              <w:adjustRightInd w:val="0"/>
                              <w:spacing w:after="170" w:line="300" w:lineRule="atLeast"/>
                              <w:textAlignment w:val="center"/>
                              <w:rPr>
                                <w:rFonts w:ascii="Calibri" w:hAnsi="Calibri" w:cs="Calibri"/>
                                <w:bCs/>
                                <w:color w:val="000000" w:themeColor="text1"/>
                                <w:sz w:val="18"/>
                                <w:szCs w:val="24"/>
                                <w:lang w:val="en-US"/>
                              </w:rPr>
                            </w:pPr>
                            <w:r w:rsidRPr="001C4B53">
                              <w:rPr>
                                <w:rFonts w:ascii="Calibri" w:hAnsi="Calibri" w:cs="Calibri"/>
                                <w:bCs/>
                                <w:color w:val="000000" w:themeColor="text1"/>
                                <w:sz w:val="16"/>
                                <w:szCs w:val="24"/>
                                <w:lang w:val="en-US"/>
                              </w:rPr>
                              <w:t>%</w:t>
                            </w:r>
                            <w:r w:rsidRPr="001C4B53">
                              <w:rPr>
                                <w:rFonts w:ascii="Calibri" w:hAnsi="Calibri" w:cs="Calibri"/>
                                <w:bCs/>
                                <w:color w:val="000000" w:themeColor="text1"/>
                                <w:sz w:val="18"/>
                                <w:szCs w:val="24"/>
                                <w:lang w:val="en-US"/>
                              </w:rPr>
                              <w:t xml:space="preserve">  </w:t>
                            </w:r>
                            <w:r w:rsidRPr="001C4B53">
                              <w:rPr>
                                <w:rFonts w:ascii="Calibri" w:hAnsi="Calibri" w:cs="Calibri"/>
                                <w:bCs/>
                                <w:color w:val="000000" w:themeColor="text1"/>
                                <w:sz w:val="18"/>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11C82E" id="Text Box 3" o:spid="_x0000_s1027" type="#_x0000_t202" style="position:absolute;left:0;text-align:left;margin-left:9.45pt;margin-top:6.45pt;width:22.75pt;height: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" filled="f" stroked="f" strokeweight=".5pt">
                <v:textbox>
                  <w:txbxContent>
                    <w:p w14:paraId="749DA7B2" w14:textId="77777777" w:rsidR="008F42BB" w:rsidRPr="001C4B53" w:rsidRDefault="008F42BB" w:rsidP="008F42BB">
                      <w:pPr>
                        <w:autoSpaceDE w:val="0"/>
                        <w:autoSpaceDN w:val="0"/>
                        <w:adjustRightInd w:val="0"/>
                        <w:spacing w:after="170" w:line="300" w:lineRule="atLeast"/>
                        <w:textAlignment w:val="center"/>
                        <w:rPr>
                          <w:rFonts w:ascii="Calibri" w:hAnsi="Calibri" w:cs="Calibri"/>
                          <w:bCs/>
                          <w:color w:val="000000" w:themeColor="text1"/>
                          <w:sz w:val="18"/>
                          <w:szCs w:val="24"/>
                          <w:lang w:val="en-US"/>
                        </w:rPr>
                      </w:pPr>
                      <w:r w:rsidRPr="001C4B53">
                        <w:rPr>
                          <w:rFonts w:ascii="Calibri" w:hAnsi="Calibri" w:cs="Calibri"/>
                          <w:bCs/>
                          <w:color w:val="000000" w:themeColor="text1"/>
                          <w:sz w:val="16"/>
                          <w:szCs w:val="24"/>
                          <w:lang w:val="en-US"/>
                        </w:rPr>
                        <w:t>%</w:t>
                      </w:r>
                      <w:r w:rsidRPr="001C4B53">
                        <w:rPr>
                          <w:rFonts w:ascii="Calibri" w:hAnsi="Calibri" w:cs="Calibri"/>
                          <w:bCs/>
                          <w:color w:val="000000" w:themeColor="text1"/>
                          <w:sz w:val="18"/>
                          <w:szCs w:val="24"/>
                          <w:lang w:val="en-US"/>
                        </w:rPr>
                        <w:t xml:space="preserve">  </w:t>
                      </w:r>
                      <w:r w:rsidRPr="001C4B53">
                        <w:rPr>
                          <w:rFonts w:ascii="Calibri" w:hAnsi="Calibri" w:cs="Calibri"/>
                          <w:bCs/>
                          <w:color w:val="000000" w:themeColor="text1"/>
                          <w:sz w:val="18"/>
                          <w:szCs w:val="24"/>
                        </w:rPr>
                        <w:t xml:space="preserve">   </w:t>
                      </w:r>
                    </w:p>
                  </w:txbxContent>
                </v:textbox>
              </v:shape>
            </w:pict>
          </mc:Fallback>
        </mc:AlternateContent>
      </w:r>
      <w:r w:rsidRPr="001C4B53">
        <w:rPr>
          <w:rFonts w:ascii="Calibri" w:hAnsi="Calibri" w:cs="Calibri"/>
          <w:b/>
          <w:caps/>
          <w:color w:val="9B9984"/>
          <w:spacing w:val="-1"/>
        </w:rPr>
        <w:t>δεικτησ Παραγωγικων Συντελεστων</w:t>
      </w:r>
    </w:p>
    <w:p w14:paraId="7CAB7BCA" w14:textId="77777777" w:rsidR="008F42BB" w:rsidRDefault="008F42BB" w:rsidP="008F42BB">
      <w:pPr>
        <w:spacing w:line="300" w:lineRule="atLeast"/>
        <w:jc w:val="center"/>
        <w:rPr>
          <w:rFonts w:ascii="Calibri" w:hAnsi="Calibri" w:cs="Calibri"/>
          <w:b/>
          <w:caps/>
          <w:color w:val="9B9984"/>
          <w:spacing w:val="-1"/>
        </w:rPr>
      </w:pPr>
    </w:p>
    <w:p w14:paraId="59B8F8EE" w14:textId="77777777" w:rsidR="008F42BB" w:rsidRDefault="008F42BB" w:rsidP="008F42BB">
      <w:pPr>
        <w:spacing w:line="300" w:lineRule="atLeast"/>
        <w:jc w:val="center"/>
        <w:rPr>
          <w:rFonts w:ascii="Calibri" w:hAnsi="Calibri" w:cs="Calibri"/>
          <w:b/>
          <w:caps/>
          <w:color w:val="9B9984"/>
          <w:spacing w:val="-1"/>
        </w:rPr>
      </w:pPr>
      <w:r w:rsidRPr="001C4B53">
        <w:rPr>
          <w:noProof/>
          <w:lang w:val="el-GR"/>
        </w:rPr>
        <w:drawing>
          <wp:inline distT="0" distB="0" distL="0" distR="0" wp14:anchorId="02F48BD2" wp14:editId="280ED5C1">
            <wp:extent cx="5803900" cy="3016250"/>
            <wp:effectExtent l="0" t="0" r="6350" b="0"/>
            <wp:docPr id="44" name="Γράφημα 44">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A2ED2A-2BE0-4E0A-951A-830E089C64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13D2A0" w14:textId="77777777" w:rsidR="00C45FC7" w:rsidRDefault="00C45FC7" w:rsidP="009E4162">
      <w:pPr>
        <w:pStyle w:val="Bluetitles"/>
        <w:spacing w:before="0" w:after="0" w:line="23" w:lineRule="atLeast"/>
        <w:ind w:left="0" w:firstLine="0"/>
        <w:rPr>
          <w:lang w:eastAsia="el-GR"/>
        </w:rPr>
      </w:pPr>
    </w:p>
    <w:p w14:paraId="479DE928" w14:textId="77777777" w:rsidR="006106C5" w:rsidRPr="006106C5" w:rsidRDefault="006106C5" w:rsidP="006106C5">
      <w:pPr>
        <w:suppressAutoHyphens/>
        <w:spacing w:line="300" w:lineRule="atLeast"/>
        <w:contextualSpacing/>
        <w:rPr>
          <w:rFonts w:ascii="Calibri" w:hAnsi="Calibri" w:cs="Calibri"/>
          <w:color w:val="000000"/>
          <w:sz w:val="21"/>
          <w:szCs w:val="21"/>
          <w:lang w:val="el-GR"/>
        </w:rPr>
      </w:pPr>
      <w:r w:rsidRPr="006106C5">
        <w:rPr>
          <w:rFonts w:ascii="Calibri" w:hAnsi="Calibri" w:cs="Calibri"/>
          <w:sz w:val="21"/>
          <w:szCs w:val="21"/>
          <w:lang w:val="el-GR"/>
        </w:rPr>
        <w:t xml:space="preserve">Το δεύτερο τρίμηνο του 2021 σημειώθηκαν κάποιες αξιοσημείωτες μεταβολές στις απόψεις των συμβούλων για τα </w:t>
      </w:r>
      <w:r w:rsidRPr="00517610">
        <w:rPr>
          <w:rFonts w:ascii="Calibri" w:hAnsi="Calibri" w:cs="Calibri"/>
          <w:b/>
          <w:bCs/>
          <w:color w:val="000000"/>
          <w:sz w:val="21"/>
          <w:szCs w:val="21"/>
          <w:lang w:val="el-GR"/>
        </w:rPr>
        <w:t>προσκόμματα στην επιχειρηματική δράση</w:t>
      </w:r>
      <w:r w:rsidRPr="006106C5">
        <w:rPr>
          <w:rFonts w:ascii="Calibri" w:hAnsi="Calibri" w:cs="Calibri"/>
          <w:color w:val="000000"/>
          <w:sz w:val="21"/>
          <w:szCs w:val="21"/>
          <w:lang w:val="el-GR"/>
        </w:rPr>
        <w:t xml:space="preserve">. Οι αδυναμίες του συστήματος απονομής δικαιοσύνης θεωρήθηκε ως ο περισσότερο ανασχετικός παράγοντας στην επιχειρηματική δράση. Ακολουθούν οι παράγοντες που σχετίζονται με τη φορολογία, δηλαδή η έλλειψη σταθερότητας του φορολογικού συστήματος και η φορολόγηση που εξακολουθεί να παραμένει υψηλή. </w:t>
      </w:r>
    </w:p>
    <w:p w14:paraId="10067548" w14:textId="77777777" w:rsidR="006106C5" w:rsidRPr="006106C5" w:rsidRDefault="006106C5" w:rsidP="006106C5">
      <w:pPr>
        <w:suppressAutoHyphens/>
        <w:spacing w:line="300" w:lineRule="atLeast"/>
        <w:contextualSpacing/>
        <w:rPr>
          <w:rFonts w:ascii="Calibri" w:hAnsi="Calibri" w:cs="Calibri"/>
          <w:color w:val="000000"/>
          <w:sz w:val="21"/>
          <w:szCs w:val="21"/>
          <w:lang w:val="el-GR"/>
        </w:rPr>
      </w:pPr>
    </w:p>
    <w:p w14:paraId="62CE0526" w14:textId="77777777" w:rsidR="006106C5" w:rsidRPr="006106C5" w:rsidRDefault="006106C5" w:rsidP="006106C5">
      <w:pPr>
        <w:suppressAutoHyphens/>
        <w:spacing w:line="300" w:lineRule="atLeast"/>
        <w:contextualSpacing/>
        <w:rPr>
          <w:rFonts w:ascii="Calibri" w:hAnsi="Calibri" w:cs="Calibri"/>
          <w:color w:val="000000"/>
          <w:sz w:val="21"/>
          <w:szCs w:val="21"/>
          <w:lang w:val="el-GR"/>
        </w:rPr>
      </w:pPr>
      <w:r w:rsidRPr="006106C5">
        <w:rPr>
          <w:rFonts w:ascii="Calibri" w:hAnsi="Calibri" w:cs="Calibri"/>
          <w:color w:val="000000"/>
          <w:sz w:val="21"/>
          <w:szCs w:val="21"/>
          <w:lang w:val="el-GR"/>
        </w:rPr>
        <w:t>Στην ομάδα των σημαντικότερων ανασχετικών παραγόντων στο επιχειρείν περιλαμβάνονται επίσης οι εξής παράγοντες (με τιμές άνω του 3,7):</w:t>
      </w:r>
    </w:p>
    <w:p w14:paraId="14A87346" w14:textId="77777777" w:rsidR="006106C5" w:rsidRPr="006106C5" w:rsidRDefault="006106C5" w:rsidP="006106C5">
      <w:pPr>
        <w:numPr>
          <w:ilvl w:val="0"/>
          <w:numId w:val="13"/>
        </w:numPr>
        <w:suppressAutoHyphens/>
        <w:spacing w:line="300" w:lineRule="atLeast"/>
        <w:ind w:left="357" w:hanging="357"/>
        <w:contextualSpacing/>
        <w:rPr>
          <w:rFonts w:ascii="Calibri" w:hAnsi="Calibri" w:cs="Calibri"/>
          <w:iCs/>
          <w:color w:val="000000"/>
          <w:sz w:val="21"/>
          <w:szCs w:val="21"/>
          <w:lang w:val="el-GR"/>
        </w:rPr>
      </w:pPr>
      <w:r w:rsidRPr="006106C5">
        <w:rPr>
          <w:rFonts w:ascii="Calibri" w:hAnsi="Calibri" w:cs="Calibri"/>
          <w:iCs/>
          <w:color w:val="000000"/>
          <w:sz w:val="21"/>
          <w:szCs w:val="21"/>
          <w:lang w:val="el-GR"/>
        </w:rPr>
        <w:t>Η αναποτελεσματική δημόσια διοίκηση.</w:t>
      </w:r>
    </w:p>
    <w:p w14:paraId="1D5B108F" w14:textId="77777777" w:rsidR="006106C5" w:rsidRPr="006106C5" w:rsidRDefault="006106C5" w:rsidP="006106C5">
      <w:pPr>
        <w:numPr>
          <w:ilvl w:val="0"/>
          <w:numId w:val="13"/>
        </w:numPr>
        <w:suppressAutoHyphens/>
        <w:spacing w:line="300" w:lineRule="atLeast"/>
        <w:ind w:left="357" w:hanging="357"/>
        <w:contextualSpacing/>
        <w:rPr>
          <w:rFonts w:ascii="Calibri" w:hAnsi="Calibri" w:cs="Calibri"/>
          <w:iCs/>
          <w:color w:val="000000"/>
          <w:sz w:val="21"/>
          <w:szCs w:val="21"/>
          <w:lang w:val="el-GR"/>
        </w:rPr>
      </w:pPr>
      <w:r w:rsidRPr="006106C5">
        <w:rPr>
          <w:rFonts w:ascii="Calibri" w:hAnsi="Calibri" w:cs="Calibri"/>
          <w:iCs/>
          <w:color w:val="000000"/>
          <w:sz w:val="21"/>
          <w:szCs w:val="21"/>
          <w:lang w:val="el-GR"/>
        </w:rPr>
        <w:t xml:space="preserve">Οι δυσκολίες στη χρηματοδότηση και </w:t>
      </w:r>
    </w:p>
    <w:p w14:paraId="373DB217" w14:textId="77777777" w:rsidR="006106C5" w:rsidRPr="006106C5" w:rsidRDefault="006106C5" w:rsidP="006106C5">
      <w:pPr>
        <w:numPr>
          <w:ilvl w:val="0"/>
          <w:numId w:val="13"/>
        </w:numPr>
        <w:suppressAutoHyphens/>
        <w:spacing w:line="300" w:lineRule="atLeast"/>
        <w:ind w:left="357" w:hanging="357"/>
        <w:contextualSpacing/>
        <w:rPr>
          <w:rFonts w:ascii="Calibri" w:hAnsi="Calibri" w:cs="Calibri"/>
          <w:iCs/>
          <w:color w:val="000000"/>
          <w:sz w:val="21"/>
          <w:szCs w:val="21"/>
          <w:lang w:val="el-GR"/>
        </w:rPr>
      </w:pPr>
      <w:r w:rsidRPr="006106C5">
        <w:rPr>
          <w:rFonts w:ascii="Calibri" w:hAnsi="Calibri" w:cs="Calibri"/>
          <w:iCs/>
          <w:color w:val="000000"/>
          <w:sz w:val="21"/>
          <w:szCs w:val="21"/>
          <w:lang w:val="el-GR"/>
        </w:rPr>
        <w:t>Οι ασυνέχειες στη λειτουργία του κράτους.</w:t>
      </w:r>
    </w:p>
    <w:p w14:paraId="12768C9E" w14:textId="39BC4CCC" w:rsidR="006106C5" w:rsidRDefault="006106C5" w:rsidP="006106C5">
      <w:pPr>
        <w:suppressAutoHyphens/>
        <w:spacing w:line="300" w:lineRule="atLeast"/>
        <w:ind w:left="357"/>
        <w:contextualSpacing/>
        <w:rPr>
          <w:rFonts w:ascii="Calibri" w:hAnsi="Calibri" w:cs="Calibri"/>
          <w:iCs/>
          <w:color w:val="000000"/>
          <w:sz w:val="21"/>
          <w:szCs w:val="21"/>
          <w:lang w:val="el-GR"/>
        </w:rPr>
      </w:pPr>
    </w:p>
    <w:p w14:paraId="07DB10A5" w14:textId="7A1A37F2" w:rsidR="001207AA" w:rsidRPr="006106C5" w:rsidRDefault="001207AA" w:rsidP="006106C5">
      <w:pPr>
        <w:suppressAutoHyphens/>
        <w:spacing w:line="300" w:lineRule="atLeast"/>
        <w:ind w:left="357"/>
        <w:contextualSpacing/>
        <w:rPr>
          <w:rFonts w:ascii="Calibri" w:hAnsi="Calibri" w:cs="Calibri"/>
          <w:iCs/>
          <w:color w:val="000000"/>
          <w:sz w:val="21"/>
          <w:szCs w:val="21"/>
          <w:lang w:val="el-GR"/>
        </w:rPr>
      </w:pPr>
      <w:r>
        <w:rPr>
          <w:noProof/>
          <w:lang w:val="el-GR"/>
        </w:rPr>
        <w:drawing>
          <wp:inline distT="0" distB="0" distL="0" distR="0" wp14:anchorId="5AE12CFB" wp14:editId="44A8BD42">
            <wp:extent cx="4515696" cy="3386772"/>
            <wp:effectExtent l="0" t="0" r="0" b="4445"/>
            <wp:docPr id="278" name="Εικόνα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7555" cy="3388166"/>
                    </a:xfrm>
                    <a:prstGeom prst="rect">
                      <a:avLst/>
                    </a:prstGeom>
                    <a:noFill/>
                    <a:ln>
                      <a:noFill/>
                    </a:ln>
                  </pic:spPr>
                </pic:pic>
              </a:graphicData>
            </a:graphic>
          </wp:inline>
        </w:drawing>
      </w:r>
    </w:p>
    <w:p w14:paraId="0499E3AA" w14:textId="77777777" w:rsidR="001207AA" w:rsidRDefault="001207AA" w:rsidP="006106C5">
      <w:pPr>
        <w:suppressAutoHyphens/>
        <w:spacing w:line="300" w:lineRule="atLeast"/>
        <w:contextualSpacing/>
        <w:rPr>
          <w:rFonts w:ascii="Calibri" w:hAnsi="Calibri" w:cs="Calibri"/>
          <w:iCs/>
          <w:color w:val="000000"/>
          <w:sz w:val="21"/>
          <w:szCs w:val="21"/>
          <w:lang w:val="el-GR"/>
        </w:rPr>
      </w:pPr>
    </w:p>
    <w:p w14:paraId="45A9FF2E" w14:textId="749EA12B" w:rsidR="006106C5" w:rsidRPr="006106C5" w:rsidRDefault="006106C5" w:rsidP="006106C5">
      <w:pPr>
        <w:suppressAutoHyphens/>
        <w:spacing w:line="300" w:lineRule="atLeast"/>
        <w:contextualSpacing/>
        <w:rPr>
          <w:rFonts w:ascii="Calibri" w:hAnsi="Calibri" w:cs="Calibri"/>
          <w:iCs/>
          <w:color w:val="000000"/>
          <w:sz w:val="21"/>
          <w:szCs w:val="21"/>
          <w:lang w:val="el-GR"/>
        </w:rPr>
      </w:pPr>
      <w:r w:rsidRPr="006106C5">
        <w:rPr>
          <w:rFonts w:ascii="Calibri" w:hAnsi="Calibri" w:cs="Calibri"/>
          <w:iCs/>
          <w:color w:val="000000"/>
          <w:sz w:val="21"/>
          <w:szCs w:val="21"/>
          <w:lang w:val="el-GR"/>
        </w:rPr>
        <w:t xml:space="preserve">Ερευνήθηκαν </w:t>
      </w:r>
      <w:r w:rsidR="00517610">
        <w:rPr>
          <w:rFonts w:ascii="Calibri" w:hAnsi="Calibri" w:cs="Calibri"/>
          <w:iCs/>
          <w:color w:val="000000"/>
          <w:sz w:val="21"/>
          <w:szCs w:val="21"/>
          <w:lang w:val="el-GR"/>
        </w:rPr>
        <w:t xml:space="preserve">επίσης </w:t>
      </w:r>
      <w:r w:rsidRPr="006106C5">
        <w:rPr>
          <w:rFonts w:ascii="Calibri" w:hAnsi="Calibri" w:cs="Calibri"/>
          <w:iCs/>
          <w:color w:val="000000"/>
          <w:sz w:val="21"/>
          <w:szCs w:val="21"/>
          <w:lang w:val="el-GR"/>
        </w:rPr>
        <w:t xml:space="preserve">οι απόψεις των συμβούλων για τις </w:t>
      </w:r>
      <w:r w:rsidRPr="00517610">
        <w:rPr>
          <w:rFonts w:ascii="Calibri" w:hAnsi="Calibri" w:cs="Calibri"/>
          <w:b/>
          <w:bCs/>
          <w:iCs/>
          <w:color w:val="000000"/>
          <w:sz w:val="21"/>
          <w:szCs w:val="21"/>
          <w:lang w:val="el-GR"/>
        </w:rPr>
        <w:t>διαδικασίες ρύθμισης των Μη Εξυπηρετούμενων Δανείων (ΜΕΔ) και τη χρηματοδότηση των επιχειρήσεων</w:t>
      </w:r>
      <w:r w:rsidRPr="006106C5">
        <w:rPr>
          <w:rFonts w:ascii="Calibri" w:hAnsi="Calibri" w:cs="Calibri"/>
          <w:iCs/>
          <w:color w:val="000000"/>
          <w:sz w:val="21"/>
          <w:szCs w:val="21"/>
          <w:lang w:val="el-GR"/>
        </w:rPr>
        <w:t xml:space="preserve"> με στόχο την ανάκαμψη της ελληνικής οικονομίας μετά την πανδημία </w:t>
      </w:r>
      <w:r w:rsidRPr="006106C5">
        <w:rPr>
          <w:rFonts w:ascii="Calibri" w:hAnsi="Calibri" w:cs="Calibri"/>
          <w:iCs/>
          <w:color w:val="000000"/>
          <w:sz w:val="21"/>
          <w:szCs w:val="21"/>
          <w:lang w:val="en-US"/>
        </w:rPr>
        <w:t>Covid</w:t>
      </w:r>
      <w:r w:rsidRPr="006106C5">
        <w:rPr>
          <w:rFonts w:ascii="Calibri" w:hAnsi="Calibri" w:cs="Calibri"/>
          <w:iCs/>
          <w:color w:val="000000"/>
          <w:sz w:val="21"/>
          <w:szCs w:val="21"/>
          <w:lang w:val="el-GR"/>
        </w:rPr>
        <w:t xml:space="preserve">-19. Το θέμα έχει εξαιρετική σημασία γιατί πολλοί προβλέπουν ταχεία αύξηση των ΜΕΔ μετά την πανδημία, αλλά και διότι η χρηματοδότηση των επιχειρήσεων από δανειακά και άλλα κεφάλαια είναι όρος </w:t>
      </w:r>
      <w:r w:rsidRPr="006106C5">
        <w:rPr>
          <w:rFonts w:ascii="Calibri" w:hAnsi="Calibri" w:cs="Calibri"/>
          <w:i/>
          <w:color w:val="000000"/>
          <w:sz w:val="21"/>
          <w:szCs w:val="21"/>
          <w:lang w:val="en-US"/>
        </w:rPr>
        <w:t>sin</w:t>
      </w:r>
      <w:r w:rsidRPr="006106C5">
        <w:rPr>
          <w:rFonts w:ascii="Calibri" w:hAnsi="Calibri" w:cs="Calibri"/>
          <w:i/>
          <w:color w:val="000000"/>
          <w:sz w:val="21"/>
          <w:szCs w:val="21"/>
          <w:lang w:val="el-GR"/>
        </w:rPr>
        <w:t xml:space="preserve"> </w:t>
      </w:r>
      <w:r w:rsidRPr="006106C5">
        <w:rPr>
          <w:rFonts w:ascii="Calibri" w:hAnsi="Calibri" w:cs="Calibri"/>
          <w:i/>
          <w:color w:val="000000"/>
          <w:sz w:val="21"/>
          <w:szCs w:val="21"/>
          <w:lang w:val="en-US"/>
        </w:rPr>
        <w:t>qua</w:t>
      </w:r>
      <w:r w:rsidRPr="006106C5">
        <w:rPr>
          <w:rFonts w:ascii="Calibri" w:hAnsi="Calibri" w:cs="Calibri"/>
          <w:i/>
          <w:color w:val="000000"/>
          <w:sz w:val="21"/>
          <w:szCs w:val="21"/>
          <w:lang w:val="el-GR"/>
        </w:rPr>
        <w:t xml:space="preserve"> </w:t>
      </w:r>
      <w:r w:rsidRPr="006106C5">
        <w:rPr>
          <w:rFonts w:ascii="Calibri" w:hAnsi="Calibri" w:cs="Calibri"/>
          <w:i/>
          <w:color w:val="000000"/>
          <w:sz w:val="21"/>
          <w:szCs w:val="21"/>
          <w:lang w:val="en-US"/>
        </w:rPr>
        <w:t>non</w:t>
      </w:r>
      <w:r w:rsidRPr="006106C5">
        <w:rPr>
          <w:rFonts w:ascii="Calibri" w:hAnsi="Calibri" w:cs="Calibri"/>
          <w:i/>
          <w:color w:val="000000"/>
          <w:sz w:val="21"/>
          <w:szCs w:val="21"/>
          <w:lang w:val="el-GR"/>
        </w:rPr>
        <w:t xml:space="preserve"> </w:t>
      </w:r>
      <w:r w:rsidRPr="006106C5">
        <w:rPr>
          <w:rFonts w:ascii="Calibri" w:hAnsi="Calibri" w:cs="Calibri"/>
          <w:iCs/>
          <w:color w:val="000000"/>
          <w:sz w:val="21"/>
          <w:szCs w:val="21"/>
          <w:lang w:val="el-GR"/>
        </w:rPr>
        <w:t xml:space="preserve">για τη μεγέθυνση, αναδιάρθρωση και ανάπτυξη της ελληνικής οικονομίας. </w:t>
      </w:r>
    </w:p>
    <w:p w14:paraId="25AF60CD" w14:textId="77777777" w:rsidR="006106C5" w:rsidRPr="006106C5" w:rsidRDefault="006106C5" w:rsidP="006106C5">
      <w:pPr>
        <w:suppressAutoHyphens/>
        <w:spacing w:line="300" w:lineRule="atLeast"/>
        <w:rPr>
          <w:rFonts w:ascii="Calibri" w:hAnsi="Calibri" w:cs="Calibri"/>
          <w:iCs/>
          <w:color w:val="000000"/>
          <w:sz w:val="21"/>
          <w:szCs w:val="21"/>
          <w:lang w:val="el-GR"/>
        </w:rPr>
      </w:pPr>
    </w:p>
    <w:p w14:paraId="54217130" w14:textId="77777777" w:rsidR="006106C5" w:rsidRPr="006106C5" w:rsidRDefault="006106C5" w:rsidP="006106C5">
      <w:pPr>
        <w:suppressAutoHyphens/>
        <w:spacing w:line="300" w:lineRule="atLeast"/>
        <w:rPr>
          <w:rFonts w:ascii="Calibri" w:hAnsi="Calibri" w:cs="Calibri"/>
          <w:iCs/>
          <w:color w:val="000000"/>
          <w:sz w:val="21"/>
          <w:szCs w:val="21"/>
          <w:lang w:val="el-GR"/>
        </w:rPr>
      </w:pPr>
      <w:r w:rsidRPr="006106C5">
        <w:rPr>
          <w:rFonts w:ascii="Calibri" w:hAnsi="Calibri" w:cs="Calibri"/>
          <w:iCs/>
          <w:color w:val="000000"/>
          <w:sz w:val="21"/>
          <w:szCs w:val="21"/>
          <w:lang w:val="el-GR"/>
        </w:rPr>
        <w:t>Η πλειονότητα των συμβούλων μάνατζμεντ, 48,5%,  θεωρεί ότι η επιτάχυνση των διαδικασιών για την ρύθμιση των ΜΕΔ είναι εξαιρετικά σημαντική για τη βιωσιμότητα των τραπεζών, τη χρηματοδότηση των επιχειρήσεων και την ανάκαμψη της οικονομίας. Επίσης, ένα άλλο 28,8% την θεωρεί ως απολύτως απαραίτητη. Υπάρχει ωστόσο και ένα μέρος των συμβούλων, 22,7%, που αξιολογεί την πορεία των διαδικασιών αυτών χρήσιμη μεν, όχι αναγκαία δε.</w:t>
      </w:r>
    </w:p>
    <w:p w14:paraId="22001AAD" w14:textId="77777777" w:rsidR="006106C5" w:rsidRPr="006106C5" w:rsidRDefault="006106C5" w:rsidP="006106C5">
      <w:pPr>
        <w:suppressAutoHyphens/>
        <w:spacing w:line="300" w:lineRule="atLeast"/>
        <w:rPr>
          <w:rFonts w:ascii="Calibri" w:hAnsi="Calibri" w:cs="Calibri"/>
          <w:iCs/>
          <w:color w:val="000000"/>
          <w:sz w:val="21"/>
          <w:szCs w:val="21"/>
          <w:lang w:val="el-GR"/>
        </w:rPr>
      </w:pPr>
    </w:p>
    <w:p w14:paraId="790C2953" w14:textId="77777777" w:rsidR="006106C5" w:rsidRPr="006106C5" w:rsidRDefault="006106C5" w:rsidP="00517610">
      <w:pPr>
        <w:suppressAutoHyphens/>
        <w:spacing w:line="300" w:lineRule="atLeast"/>
        <w:jc w:val="center"/>
        <w:rPr>
          <w:rFonts w:ascii="Calibri" w:hAnsi="Calibri" w:cs="Calibri"/>
          <w:b/>
          <w:bCs/>
          <w:iCs/>
          <w:color w:val="962764"/>
          <w:sz w:val="21"/>
          <w:szCs w:val="21"/>
          <w:lang w:val="el-GR"/>
        </w:rPr>
      </w:pPr>
      <w:r w:rsidRPr="006106C5">
        <w:rPr>
          <w:rFonts w:ascii="Calibri" w:hAnsi="Calibri" w:cs="Calibri"/>
          <w:b/>
          <w:bCs/>
          <w:iCs/>
          <w:color w:val="962764"/>
          <w:sz w:val="21"/>
          <w:szCs w:val="21"/>
          <w:lang w:val="el-GR"/>
        </w:rPr>
        <w:t>Οι απόψεις των συμβούλων για την επιτάχυνση των διαδικασιών ρύθμισης ΜΕΔ (%)</w:t>
      </w:r>
    </w:p>
    <w:p w14:paraId="629A441F" w14:textId="77777777" w:rsidR="006106C5" w:rsidRPr="006106C5" w:rsidRDefault="006106C5" w:rsidP="006106C5">
      <w:pPr>
        <w:suppressAutoHyphens/>
        <w:spacing w:line="300" w:lineRule="atLeast"/>
        <w:rPr>
          <w:rFonts w:ascii="Calibri" w:hAnsi="Calibri" w:cs="Calibri"/>
          <w:iCs/>
          <w:color w:val="000000"/>
          <w:sz w:val="21"/>
          <w:szCs w:val="21"/>
        </w:rPr>
      </w:pPr>
      <w:r w:rsidRPr="006106C5">
        <w:rPr>
          <w:rFonts w:ascii="Calibri" w:hAnsi="Calibri" w:cs="Calibri"/>
          <w:noProof/>
          <w:sz w:val="21"/>
          <w:szCs w:val="21"/>
          <w:lang w:val="el-GR"/>
        </w:rPr>
        <w:drawing>
          <wp:inline distT="0" distB="0" distL="0" distR="0" wp14:anchorId="4A0445DC" wp14:editId="20F8D846">
            <wp:extent cx="4286250" cy="1873250"/>
            <wp:effectExtent l="0" t="0" r="0" b="0"/>
            <wp:docPr id="279" name="Γράφημα 279">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BB1E0E6-39A2-4571-88B9-9D006C6859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334338D" w14:textId="58165B24" w:rsidR="006106C5" w:rsidRPr="006106C5" w:rsidRDefault="00517610" w:rsidP="006106C5">
      <w:pPr>
        <w:suppressAutoHyphens/>
        <w:spacing w:line="300" w:lineRule="atLeast"/>
        <w:rPr>
          <w:rFonts w:ascii="Calibri" w:hAnsi="Calibri" w:cs="Calibri"/>
          <w:b/>
          <w:bCs/>
          <w:caps/>
          <w:color w:val="000000"/>
          <w:sz w:val="21"/>
          <w:szCs w:val="21"/>
          <w:lang w:val="el-GR"/>
        </w:rPr>
      </w:pPr>
      <w:r>
        <w:rPr>
          <w:rFonts w:ascii="Calibri" w:hAnsi="Calibri" w:cs="Calibri"/>
          <w:iCs/>
          <w:color w:val="000000"/>
          <w:sz w:val="21"/>
          <w:szCs w:val="21"/>
          <w:lang w:val="el-GR"/>
        </w:rPr>
        <w:t>Πέραν αυτών</w:t>
      </w:r>
      <w:r w:rsidR="006106C5" w:rsidRPr="006106C5">
        <w:rPr>
          <w:rFonts w:ascii="Calibri" w:hAnsi="Calibri" w:cs="Calibri"/>
          <w:iCs/>
          <w:color w:val="000000"/>
          <w:sz w:val="21"/>
          <w:szCs w:val="21"/>
          <w:lang w:val="el-GR"/>
        </w:rPr>
        <w:t xml:space="preserve">, το ακόλουθο διάγραμμα παρουσιάζει τις </w:t>
      </w:r>
      <w:r w:rsidR="006106C5" w:rsidRPr="00517610">
        <w:rPr>
          <w:rFonts w:ascii="Calibri" w:hAnsi="Calibri" w:cs="Calibri"/>
          <w:b/>
          <w:bCs/>
          <w:iCs/>
          <w:color w:val="000000"/>
          <w:sz w:val="21"/>
          <w:szCs w:val="21"/>
          <w:lang w:val="el-GR"/>
        </w:rPr>
        <w:t>απόψεις των συμβούλων για τις αλλαγές στις διαδικασίες των τραπεζών με στόχο την αύξηση των χρηματοδοτήσεων προς τις επιχειρήσεις</w:t>
      </w:r>
      <w:r w:rsidR="006106C5" w:rsidRPr="006106C5">
        <w:rPr>
          <w:rFonts w:ascii="Calibri" w:hAnsi="Calibri" w:cs="Calibri"/>
          <w:iCs/>
          <w:color w:val="000000"/>
          <w:sz w:val="21"/>
          <w:szCs w:val="21"/>
          <w:lang w:val="el-GR"/>
        </w:rPr>
        <w:t xml:space="preserve">. </w:t>
      </w:r>
      <w:r w:rsidR="006106C5" w:rsidRPr="006106C5">
        <w:rPr>
          <w:rFonts w:ascii="Calibri" w:hAnsi="Calibri" w:cs="Calibri"/>
          <w:color w:val="000000"/>
          <w:sz w:val="21"/>
          <w:szCs w:val="21"/>
          <w:lang w:val="el-GR"/>
        </w:rPr>
        <w:t xml:space="preserve">Οι τρεις σημαντικότερες αλλαγές, με σκορ υψηλότερο του 2,0 σε κλίμακα </w:t>
      </w:r>
      <w:r w:rsidR="006106C5" w:rsidRPr="006106C5">
        <w:rPr>
          <w:rFonts w:ascii="Calibri" w:hAnsi="Calibri" w:cs="Calibri"/>
          <w:color w:val="000000"/>
          <w:sz w:val="21"/>
          <w:szCs w:val="21"/>
          <w:lang w:val="en-US"/>
        </w:rPr>
        <w:t>Likert</w:t>
      </w:r>
      <w:r w:rsidR="006106C5" w:rsidRPr="006106C5">
        <w:rPr>
          <w:rFonts w:ascii="Calibri" w:hAnsi="Calibri" w:cs="Calibri"/>
          <w:color w:val="000000"/>
          <w:sz w:val="21"/>
          <w:szCs w:val="21"/>
          <w:lang w:val="el-GR"/>
        </w:rPr>
        <w:t xml:space="preserve"> 1-3, είναι η χρηματοδότηση βάσει </w:t>
      </w:r>
      <w:r w:rsidR="006106C5" w:rsidRPr="006106C5">
        <w:rPr>
          <w:rFonts w:ascii="Calibri" w:hAnsi="Calibri" w:cs="Calibri"/>
          <w:color w:val="000000"/>
          <w:sz w:val="21"/>
          <w:szCs w:val="21"/>
          <w:lang w:val="en-US"/>
        </w:rPr>
        <w:t>business</w:t>
      </w:r>
      <w:r w:rsidR="006106C5" w:rsidRPr="006106C5">
        <w:rPr>
          <w:rFonts w:ascii="Calibri" w:hAnsi="Calibri" w:cs="Calibri"/>
          <w:color w:val="000000"/>
          <w:sz w:val="21"/>
          <w:szCs w:val="21"/>
          <w:lang w:val="el-GR"/>
        </w:rPr>
        <w:t xml:space="preserve"> </w:t>
      </w:r>
      <w:r w:rsidR="006106C5" w:rsidRPr="006106C5">
        <w:rPr>
          <w:rFonts w:ascii="Calibri" w:hAnsi="Calibri" w:cs="Calibri"/>
          <w:color w:val="000000"/>
          <w:sz w:val="21"/>
          <w:szCs w:val="21"/>
          <w:lang w:val="en-US"/>
        </w:rPr>
        <w:t>plan</w:t>
      </w:r>
      <w:r w:rsidR="006106C5" w:rsidRPr="006106C5">
        <w:rPr>
          <w:rFonts w:ascii="Calibri" w:hAnsi="Calibri" w:cs="Calibri"/>
          <w:color w:val="000000"/>
          <w:sz w:val="21"/>
          <w:szCs w:val="21"/>
          <w:lang w:val="el-GR"/>
        </w:rPr>
        <w:t xml:space="preserve"> και όχι μόνο βάσει εγγυήσεων, η αναθεώρηση της πολιτικής εγγυήσεων των τραπεζών και τέλος η εκπαίδευση των τραπεζικών στελεχών σε θέματα χρηματοδοτήσεων. </w:t>
      </w:r>
    </w:p>
    <w:p w14:paraId="7B82BD25" w14:textId="77777777" w:rsidR="006106C5" w:rsidRPr="006106C5" w:rsidRDefault="006106C5" w:rsidP="006106C5">
      <w:pPr>
        <w:pStyle w:val="Bluetitles"/>
        <w:spacing w:before="0" w:after="0"/>
        <w:rPr>
          <w:caps w:val="0"/>
          <w:color w:val="962764"/>
          <w:spacing w:val="0"/>
          <w:sz w:val="21"/>
          <w:szCs w:val="21"/>
        </w:rPr>
      </w:pPr>
    </w:p>
    <w:p w14:paraId="14AA7D58" w14:textId="7CA9071C" w:rsidR="006106C5" w:rsidRPr="006106C5" w:rsidRDefault="006106C5" w:rsidP="006106C5">
      <w:pPr>
        <w:pStyle w:val="Bluetitles"/>
        <w:spacing w:before="0" w:after="0"/>
        <w:jc w:val="center"/>
        <w:rPr>
          <w:caps w:val="0"/>
          <w:color w:val="962764"/>
          <w:spacing w:val="0"/>
          <w:sz w:val="21"/>
          <w:szCs w:val="21"/>
        </w:rPr>
      </w:pPr>
      <w:r w:rsidRPr="006106C5">
        <w:rPr>
          <w:caps w:val="0"/>
          <w:color w:val="962764"/>
          <w:spacing w:val="0"/>
          <w:sz w:val="21"/>
          <w:szCs w:val="21"/>
        </w:rPr>
        <w:t>Οι απόψεις των συμβούλων για τις αλλαγές στις διαδικασίες χρηματοδότησης των τραπεζών</w:t>
      </w:r>
    </w:p>
    <w:p w14:paraId="6B9759A1" w14:textId="77777777" w:rsidR="006106C5" w:rsidRPr="006106C5" w:rsidRDefault="006106C5" w:rsidP="006106C5">
      <w:pPr>
        <w:pStyle w:val="ListParagraph"/>
        <w:suppressAutoHyphens/>
        <w:spacing w:line="300" w:lineRule="atLeast"/>
        <w:ind w:left="1791"/>
        <w:rPr>
          <w:rFonts w:ascii="Calibri" w:hAnsi="Calibri" w:cs="Calibri"/>
          <w:iCs/>
          <w:color w:val="000000"/>
          <w:sz w:val="21"/>
          <w:szCs w:val="21"/>
        </w:rPr>
      </w:pPr>
      <w:r w:rsidRPr="006106C5">
        <w:rPr>
          <w:rFonts w:ascii="Calibri" w:hAnsi="Calibri" w:cs="Calibri"/>
          <w:noProof/>
          <w:sz w:val="21"/>
          <w:szCs w:val="21"/>
          <w:lang w:val="el-GR"/>
        </w:rPr>
        <w:drawing>
          <wp:inline distT="0" distB="0" distL="0" distR="0" wp14:anchorId="058DB69F" wp14:editId="164A0EE2">
            <wp:extent cx="4340176" cy="2254250"/>
            <wp:effectExtent l="0" t="0" r="3810" b="0"/>
            <wp:docPr id="281" name="Γράφημα 28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1DD5AEE-7806-4284-A114-C267BFF953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2F53572" w14:textId="77777777" w:rsidR="00EA2CA4" w:rsidRDefault="00EA2CA4" w:rsidP="006106C5">
      <w:pPr>
        <w:pStyle w:val="Bluetitles"/>
        <w:spacing w:before="0" w:after="0"/>
        <w:ind w:left="0" w:firstLine="0"/>
        <w:jc w:val="both"/>
        <w:rPr>
          <w:b w:val="0"/>
          <w:bCs w:val="0"/>
          <w:caps w:val="0"/>
          <w:color w:val="000000"/>
          <w:spacing w:val="0"/>
          <w:sz w:val="21"/>
          <w:szCs w:val="21"/>
        </w:rPr>
      </w:pPr>
    </w:p>
    <w:p w14:paraId="424DAD41" w14:textId="6064B80A" w:rsidR="006106C5" w:rsidRPr="006106C5" w:rsidRDefault="006106C5" w:rsidP="006106C5">
      <w:pPr>
        <w:pStyle w:val="Bluetitles"/>
        <w:spacing w:before="0" w:after="0"/>
        <w:ind w:left="0" w:firstLine="0"/>
        <w:jc w:val="both"/>
        <w:rPr>
          <w:b w:val="0"/>
          <w:bCs w:val="0"/>
          <w:caps w:val="0"/>
          <w:color w:val="000000"/>
          <w:spacing w:val="0"/>
          <w:sz w:val="21"/>
          <w:szCs w:val="21"/>
        </w:rPr>
      </w:pPr>
      <w:r w:rsidRPr="006106C5">
        <w:rPr>
          <w:b w:val="0"/>
          <w:bCs w:val="0"/>
          <w:caps w:val="0"/>
          <w:color w:val="000000"/>
          <w:spacing w:val="0"/>
          <w:sz w:val="21"/>
          <w:szCs w:val="21"/>
        </w:rPr>
        <w:t>Η αύξηση της ζήτησης για συμβουλευτικές υπηρεσίες επηρεάζεται προφανώς από την πορεία και τις εξελίξεις της οικονομίας. Η επανεκκίνηση της ελληνικής οικονομίας μετά την πανδημία και οι διαρθρωτικές αλλαγές που προγραμματίζονται θα καθορίσουν εν πολλοίς το μέγεθος και τη διάρθρωση της ζήτησης συμβουλευτικών υπηρεσιών, τόσο προς τον δημόσιο, όσο και προς τον ιδιωτικό τομέα.</w:t>
      </w:r>
    </w:p>
    <w:p w14:paraId="38FC7A7E" w14:textId="77777777" w:rsidR="006106C5" w:rsidRPr="006106C5" w:rsidRDefault="006106C5" w:rsidP="00517610">
      <w:pPr>
        <w:pStyle w:val="Bluetitles"/>
        <w:spacing w:before="0" w:after="0"/>
        <w:rPr>
          <w:b w:val="0"/>
          <w:bCs w:val="0"/>
          <w:caps w:val="0"/>
          <w:color w:val="000000"/>
          <w:spacing w:val="0"/>
          <w:sz w:val="21"/>
          <w:szCs w:val="21"/>
        </w:rPr>
      </w:pPr>
    </w:p>
    <w:p w14:paraId="48F4127C" w14:textId="77777777" w:rsidR="006106C5" w:rsidRPr="006106C5" w:rsidRDefault="006106C5" w:rsidP="00517610">
      <w:pPr>
        <w:pStyle w:val="Bluetitles"/>
        <w:spacing w:before="0" w:after="0"/>
        <w:ind w:left="0" w:firstLine="0"/>
        <w:jc w:val="both"/>
        <w:rPr>
          <w:b w:val="0"/>
          <w:bCs w:val="0"/>
          <w:caps w:val="0"/>
          <w:color w:val="000000"/>
          <w:spacing w:val="0"/>
          <w:sz w:val="21"/>
          <w:szCs w:val="21"/>
        </w:rPr>
      </w:pPr>
      <w:r w:rsidRPr="006106C5">
        <w:rPr>
          <w:b w:val="0"/>
          <w:bCs w:val="0"/>
          <w:caps w:val="0"/>
          <w:color w:val="000000"/>
          <w:spacing w:val="0"/>
          <w:sz w:val="21"/>
          <w:szCs w:val="21"/>
        </w:rPr>
        <w:t xml:space="preserve">Οι σύμβουλοι θεωρούν ότι οι </w:t>
      </w:r>
      <w:r w:rsidRPr="00517610">
        <w:rPr>
          <w:caps w:val="0"/>
          <w:color w:val="000000"/>
          <w:spacing w:val="0"/>
          <w:sz w:val="21"/>
          <w:szCs w:val="21"/>
        </w:rPr>
        <w:t>κυριότερες πηγές μεγέθυνσης της αγοράς συμβουλευτικών υπηρεσιών</w:t>
      </w:r>
      <w:r w:rsidRPr="006106C5">
        <w:rPr>
          <w:b w:val="0"/>
          <w:bCs w:val="0"/>
          <w:caps w:val="0"/>
          <w:color w:val="000000"/>
          <w:spacing w:val="0"/>
          <w:sz w:val="21"/>
          <w:szCs w:val="21"/>
        </w:rPr>
        <w:t xml:space="preserve"> κατά την επόμενη διετία θα είναι η υλοποίηση δημοσίων έργων, ο ψηφιακός μετασχηματισμός και η αναδιάρθρωση επιχειρήσεων. Όλα συνδέονται με το Ταμείο Ανάπτυξης και το πρόγραμμα Ελλάδα 2.0. Προβλέπεται επίσης αύξηση των ξένων επενδύσεων και συνεπώς ζήτηση για συμβουλευτικές υπηρεσίες από τους ξένους επενδυτές. Σκορ υψηλότερο του 3,0 είχαν επίσης τα έργα βελτίωσης της εμπειρίας των πελατών των επιχειρήσεων και η αναδιάρθρωση δημόσιων φορέων. </w:t>
      </w:r>
    </w:p>
    <w:p w14:paraId="5675E94D" w14:textId="77777777" w:rsidR="006106C5" w:rsidRPr="006106C5" w:rsidRDefault="006106C5" w:rsidP="00517610">
      <w:pPr>
        <w:pStyle w:val="Bluetitles"/>
        <w:spacing w:before="0" w:after="0"/>
        <w:ind w:left="0" w:firstLine="0"/>
        <w:jc w:val="both"/>
        <w:rPr>
          <w:b w:val="0"/>
          <w:bCs w:val="0"/>
          <w:caps w:val="0"/>
          <w:color w:val="000000"/>
          <w:spacing w:val="0"/>
          <w:sz w:val="21"/>
          <w:szCs w:val="21"/>
        </w:rPr>
      </w:pPr>
    </w:p>
    <w:p w14:paraId="585B84D8" w14:textId="722CABAA" w:rsidR="006106C5" w:rsidRPr="006106C5" w:rsidRDefault="00EA2CA4" w:rsidP="00517610">
      <w:pPr>
        <w:pStyle w:val="Bluetitles"/>
        <w:spacing w:before="0" w:after="0"/>
        <w:rPr>
          <w:caps w:val="0"/>
          <w:color w:val="962764"/>
          <w:spacing w:val="0"/>
          <w:sz w:val="21"/>
          <w:szCs w:val="21"/>
        </w:rPr>
      </w:pPr>
      <w:r w:rsidRPr="006106C5">
        <w:rPr>
          <w:noProof/>
          <w:sz w:val="21"/>
          <w:szCs w:val="21"/>
          <w:lang w:eastAsia="el-GR"/>
        </w:rPr>
        <w:drawing>
          <wp:anchor distT="0" distB="0" distL="114300" distR="114300" simplePos="0" relativeHeight="251694080" behindDoc="1" locked="0" layoutInCell="1" allowOverlap="1" wp14:anchorId="292F2506" wp14:editId="47DE8575">
            <wp:simplePos x="0" y="0"/>
            <wp:positionH relativeFrom="column">
              <wp:posOffset>-200660</wp:posOffset>
            </wp:positionH>
            <wp:positionV relativeFrom="paragraph">
              <wp:posOffset>199390</wp:posOffset>
            </wp:positionV>
            <wp:extent cx="5848350" cy="3962400"/>
            <wp:effectExtent l="0" t="0" r="0" b="0"/>
            <wp:wrapTight wrapText="bothSides">
              <wp:wrapPolygon edited="0">
                <wp:start x="0" y="0"/>
                <wp:lineTo x="0" y="21496"/>
                <wp:lineTo x="21530" y="21496"/>
                <wp:lineTo x="21530" y="0"/>
                <wp:lineTo x="0" y="0"/>
              </wp:wrapPolygon>
            </wp:wrapTight>
            <wp:docPr id="285" name="Γράφημα 28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49947D0-619C-41BB-911C-3C23EE762D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6106C5" w:rsidRPr="006106C5">
        <w:rPr>
          <w:caps w:val="0"/>
          <w:color w:val="962764"/>
          <w:spacing w:val="0"/>
          <w:sz w:val="21"/>
          <w:szCs w:val="21"/>
        </w:rPr>
        <w:t>Οι απόψεις των συμβούλων για τις πηγές ζήτησης συμβουλευτικών υπηρεσιών κατά την επόμενη διετία</w:t>
      </w:r>
    </w:p>
    <w:p w14:paraId="7A935AD9" w14:textId="2D311B7E" w:rsidR="001207AA" w:rsidRPr="00EA2CA4" w:rsidRDefault="001207AA" w:rsidP="001207AA">
      <w:pPr>
        <w:pStyle w:val="maintext"/>
        <w:suppressAutoHyphens/>
        <w:spacing w:after="0" w:line="240" w:lineRule="atLeast"/>
        <w:rPr>
          <w:rFonts w:asciiTheme="minorHAnsi" w:hAnsiTheme="minorHAnsi" w:cstheme="minorHAnsi"/>
          <w:b/>
          <w:sz w:val="20"/>
          <w:szCs w:val="20"/>
        </w:rPr>
      </w:pPr>
      <w:r w:rsidRPr="00EA2CA4">
        <w:rPr>
          <w:rFonts w:asciiTheme="minorHAnsi" w:hAnsiTheme="minorHAnsi" w:cstheme="minorHAnsi"/>
          <w:b/>
          <w:sz w:val="20"/>
          <w:szCs w:val="20"/>
        </w:rPr>
        <w:t xml:space="preserve">Η έρευνα για το β’ τρίμηνο 2021 πραγματοποιήθηκε με την υποστήριξη των μελών του ΣΕΣΜΑ: </w:t>
      </w:r>
      <w:r w:rsidRPr="00EA2CA4">
        <w:rPr>
          <w:rFonts w:asciiTheme="minorHAnsi" w:hAnsiTheme="minorHAnsi" w:cstheme="minorHAnsi"/>
          <w:b/>
          <w:sz w:val="20"/>
          <w:szCs w:val="20"/>
          <w:lang w:val="en-US"/>
        </w:rPr>
        <w:t>ACCENTURE</w:t>
      </w:r>
      <w:r w:rsidRPr="00EA2CA4">
        <w:rPr>
          <w:rFonts w:asciiTheme="minorHAnsi" w:hAnsiTheme="minorHAnsi" w:cstheme="minorHAnsi"/>
          <w:b/>
          <w:sz w:val="20"/>
          <w:szCs w:val="20"/>
        </w:rPr>
        <w:t xml:space="preserve">, </w:t>
      </w:r>
      <w:r w:rsidRPr="00EA2CA4">
        <w:rPr>
          <w:rFonts w:asciiTheme="minorHAnsi" w:hAnsiTheme="minorHAnsi" w:cstheme="minorHAnsi"/>
          <w:b/>
          <w:sz w:val="20"/>
          <w:szCs w:val="20"/>
          <w:lang w:val="en-US"/>
        </w:rPr>
        <w:t>IAPETOS</w:t>
      </w:r>
      <w:r w:rsidRPr="00EA2CA4">
        <w:rPr>
          <w:rFonts w:asciiTheme="minorHAnsi" w:hAnsiTheme="minorHAnsi" w:cstheme="minorHAnsi"/>
          <w:b/>
          <w:sz w:val="20"/>
          <w:szCs w:val="20"/>
        </w:rPr>
        <w:t xml:space="preserve">, </w:t>
      </w:r>
      <w:r w:rsidRPr="00EA2CA4">
        <w:rPr>
          <w:rFonts w:asciiTheme="minorHAnsi" w:hAnsiTheme="minorHAnsi" w:cstheme="minorHAnsi"/>
          <w:b/>
          <w:sz w:val="20"/>
          <w:szCs w:val="20"/>
          <w:lang w:val="en-US"/>
        </w:rPr>
        <w:t>KAINOTOMIA</w:t>
      </w:r>
      <w:r w:rsidRPr="00EA2CA4">
        <w:rPr>
          <w:rFonts w:asciiTheme="minorHAnsi" w:hAnsiTheme="minorHAnsi" w:cstheme="minorHAnsi"/>
          <w:b/>
          <w:sz w:val="20"/>
          <w:szCs w:val="20"/>
        </w:rPr>
        <w:t xml:space="preserve"> και </w:t>
      </w:r>
      <w:r w:rsidRPr="00EA2CA4">
        <w:rPr>
          <w:rFonts w:asciiTheme="minorHAnsi" w:hAnsiTheme="minorHAnsi" w:cstheme="minorHAnsi"/>
          <w:b/>
          <w:sz w:val="20"/>
          <w:szCs w:val="20"/>
          <w:lang w:val="en-US"/>
        </w:rPr>
        <w:t>KPMG</w:t>
      </w:r>
      <w:r w:rsidRPr="00EA2CA4">
        <w:rPr>
          <w:rFonts w:asciiTheme="minorHAnsi" w:hAnsiTheme="minorHAnsi" w:cstheme="minorHAnsi"/>
          <w:b/>
          <w:sz w:val="20"/>
          <w:szCs w:val="20"/>
        </w:rPr>
        <w:t>.</w:t>
      </w:r>
    </w:p>
    <w:p w14:paraId="021121AF" w14:textId="77777777" w:rsidR="001207AA" w:rsidRPr="00EA2CA4" w:rsidRDefault="001207AA" w:rsidP="001207AA">
      <w:pPr>
        <w:spacing w:line="240" w:lineRule="atLeast"/>
        <w:rPr>
          <w:rFonts w:ascii="Calibri" w:eastAsiaTheme="minorHAnsi" w:hAnsi="Calibri" w:cstheme="minorHAnsi"/>
          <w:color w:val="000000"/>
          <w:lang w:val="el-GR" w:eastAsia="en-US"/>
        </w:rPr>
      </w:pPr>
    </w:p>
    <w:p w14:paraId="38E66A93" w14:textId="77777777" w:rsidR="001207AA" w:rsidRDefault="001207AA" w:rsidP="000633B4">
      <w:pPr>
        <w:spacing w:line="23" w:lineRule="atLeast"/>
        <w:jc w:val="left"/>
        <w:rPr>
          <w:rFonts w:ascii="Calibri" w:hAnsi="Calibri" w:cs="Calibri"/>
          <w:b/>
          <w:sz w:val="21"/>
          <w:szCs w:val="21"/>
          <w:lang w:val="el-GR"/>
        </w:rPr>
      </w:pPr>
    </w:p>
    <w:p w14:paraId="52E6A14E" w14:textId="22E7FD20" w:rsidR="00343149" w:rsidRPr="006106C5" w:rsidRDefault="00343149" w:rsidP="000633B4">
      <w:pPr>
        <w:spacing w:line="23" w:lineRule="atLeast"/>
        <w:jc w:val="left"/>
        <w:rPr>
          <w:rFonts w:ascii="Calibri" w:hAnsi="Calibri" w:cs="Calibri"/>
          <w:b/>
          <w:sz w:val="21"/>
          <w:szCs w:val="21"/>
          <w:lang w:val="el-GR"/>
        </w:rPr>
      </w:pPr>
      <w:r w:rsidRPr="006106C5">
        <w:rPr>
          <w:rFonts w:ascii="Calibri" w:hAnsi="Calibri" w:cs="Calibri"/>
          <w:b/>
          <w:sz w:val="21"/>
          <w:szCs w:val="21"/>
          <w:lang w:val="el-GR"/>
        </w:rPr>
        <w:t>Ο ΣΕΣΜ</w:t>
      </w:r>
      <w:r w:rsidR="003D29A7" w:rsidRPr="006106C5">
        <w:rPr>
          <w:rFonts w:ascii="Calibri" w:hAnsi="Calibri" w:cs="Calibri"/>
          <w:b/>
          <w:sz w:val="21"/>
          <w:szCs w:val="21"/>
          <w:lang w:val="el-GR"/>
        </w:rPr>
        <w:t>Α</w:t>
      </w:r>
    </w:p>
    <w:p w14:paraId="508C68F1" w14:textId="77777777" w:rsidR="007C6B64" w:rsidRPr="006106C5" w:rsidRDefault="007C6B64" w:rsidP="00932370">
      <w:pPr>
        <w:spacing w:line="23" w:lineRule="atLeast"/>
        <w:rPr>
          <w:rFonts w:ascii="Calibri" w:eastAsiaTheme="minorHAnsi" w:hAnsi="Calibri" w:cs="Calibri"/>
          <w:color w:val="000000"/>
          <w:sz w:val="21"/>
          <w:szCs w:val="21"/>
          <w:lang w:val="el-GR" w:eastAsia="en-US"/>
        </w:rPr>
      </w:pPr>
    </w:p>
    <w:p w14:paraId="1381EE7A" w14:textId="2229A226" w:rsidR="002A77B6" w:rsidRPr="006106C5" w:rsidRDefault="00343149" w:rsidP="00932370">
      <w:pPr>
        <w:spacing w:line="23" w:lineRule="atLeast"/>
        <w:rPr>
          <w:rFonts w:ascii="Calibri" w:eastAsiaTheme="minorHAnsi" w:hAnsi="Calibri" w:cs="Calibri"/>
          <w:color w:val="000000"/>
          <w:sz w:val="21"/>
          <w:szCs w:val="21"/>
          <w:lang w:val="el-GR" w:eastAsia="en-US"/>
        </w:rPr>
      </w:pPr>
      <w:r w:rsidRPr="006106C5">
        <w:rPr>
          <w:rFonts w:ascii="Calibri" w:eastAsiaTheme="minorHAnsi" w:hAnsi="Calibri" w:cs="Calibri"/>
          <w:color w:val="000000"/>
          <w:sz w:val="21"/>
          <w:szCs w:val="21"/>
          <w:lang w:val="el-GR" w:eastAsia="en-US"/>
        </w:rPr>
        <w:t>Ο Σύνδεσμος Εταιρειών Συμβούλων Μάνατζμεντ Ελλάδος (ΣΕΣΜΑ) ιδρύθηκε το 1991 και αποτελεί τον επαγγελματικό συλλογικό φορέα των οργανωμένων εταιρειών συμβούλων επιχειρήσεων στην Ελλάδα, με 4</w:t>
      </w:r>
      <w:r w:rsidR="001207AA">
        <w:rPr>
          <w:rFonts w:ascii="Calibri" w:eastAsiaTheme="minorHAnsi" w:hAnsi="Calibri" w:cs="Calibri"/>
          <w:color w:val="000000"/>
          <w:sz w:val="21"/>
          <w:szCs w:val="21"/>
          <w:lang w:val="el-GR" w:eastAsia="en-US"/>
        </w:rPr>
        <w:t>8</w:t>
      </w:r>
      <w:r w:rsidRPr="006106C5">
        <w:rPr>
          <w:rFonts w:ascii="Calibri" w:eastAsiaTheme="minorHAnsi" w:hAnsi="Calibri" w:cs="Calibri"/>
          <w:color w:val="000000"/>
          <w:sz w:val="21"/>
          <w:szCs w:val="21"/>
          <w:lang w:val="el-GR" w:eastAsia="en-US"/>
        </w:rPr>
        <w:t xml:space="preserve"> εταιρείες –μέλη, στις οποίες απασχολούνται περισσότερα από 2.000 εξειδικευμένα στελέχη. Κύριος στόχος του ΣΕΣΜΑ είναι η ανάπτυξη και διεύρυνση της αγοράς συμβουλευτικών υπηρεσιών, στην Ελλάδα και στο εξωτερικό, και η ενίσχυση και παγίωση της αξιοπιστίας και της προστιθέμενης αξίας των συμβουλευτικών υπηρεσιών και της επιχειρηματικής υποστήριξης, τόσο στον δημόσιο, όσο και τον ιδιωτικό τομέα</w:t>
      </w:r>
      <w:r w:rsidR="00670C7A" w:rsidRPr="006106C5">
        <w:rPr>
          <w:rFonts w:ascii="Calibri" w:eastAsiaTheme="minorHAnsi" w:hAnsi="Calibri" w:cs="Calibri"/>
          <w:color w:val="000000"/>
          <w:sz w:val="21"/>
          <w:szCs w:val="21"/>
          <w:lang w:val="el-GR" w:eastAsia="en-US"/>
        </w:rPr>
        <w:t>.</w:t>
      </w:r>
    </w:p>
    <w:p w14:paraId="7AA687AC" w14:textId="77777777" w:rsidR="00932370" w:rsidRPr="006106C5" w:rsidRDefault="00932370" w:rsidP="00932370">
      <w:pPr>
        <w:spacing w:line="23" w:lineRule="atLeast"/>
        <w:rPr>
          <w:rFonts w:ascii="Calibri" w:eastAsiaTheme="minorHAnsi" w:hAnsi="Calibri" w:cs="Calibri"/>
          <w:color w:val="000000"/>
          <w:sz w:val="21"/>
          <w:szCs w:val="21"/>
          <w:lang w:val="el-GR" w:eastAsia="en-US"/>
        </w:rPr>
      </w:pPr>
    </w:p>
    <w:p w14:paraId="61AFCB04" w14:textId="77777777" w:rsidR="00932370" w:rsidRPr="006106C5" w:rsidRDefault="00932370" w:rsidP="000633B4">
      <w:pPr>
        <w:pStyle w:val="maintext"/>
        <w:suppressAutoHyphens/>
        <w:spacing w:after="0"/>
        <w:rPr>
          <w:b/>
          <w:bCs/>
        </w:rPr>
      </w:pPr>
      <w:r w:rsidRPr="006106C5">
        <w:rPr>
          <w:b/>
          <w:bCs/>
        </w:rPr>
        <w:t>Επιστημονικός υπεύθυνος</w:t>
      </w:r>
    </w:p>
    <w:p w14:paraId="300C4A45" w14:textId="77777777" w:rsidR="00932370" w:rsidRPr="006106C5" w:rsidRDefault="00932370" w:rsidP="00932370">
      <w:pPr>
        <w:pStyle w:val="maintext"/>
        <w:suppressAutoHyphens/>
        <w:spacing w:after="0" w:line="23" w:lineRule="atLeast"/>
      </w:pPr>
    </w:p>
    <w:p w14:paraId="628A0F88" w14:textId="1B72859F" w:rsidR="00932370" w:rsidRPr="006106C5" w:rsidRDefault="00932370" w:rsidP="00932370">
      <w:pPr>
        <w:pStyle w:val="maintext"/>
        <w:suppressAutoHyphens/>
        <w:spacing w:after="0" w:line="23" w:lineRule="atLeast"/>
      </w:pPr>
      <w:r w:rsidRPr="006106C5">
        <w:t xml:space="preserve">Επιστημονικός υπεύθυνος είναι ο κ. Κωνσταντίνος Αϊβαλής και υπεύθυνος της έρευνας ο κ. Αλέξανδρος Καλόμοιρος, </w:t>
      </w:r>
      <w:r w:rsidR="001207AA">
        <w:t>Μέλος</w:t>
      </w:r>
      <w:r w:rsidRPr="006106C5">
        <w:t xml:space="preserve"> ΔΣ ΣΕΣΜΑ.</w:t>
      </w:r>
    </w:p>
    <w:p w14:paraId="6582C5C5" w14:textId="77777777" w:rsidR="00932370" w:rsidRPr="006106C5" w:rsidRDefault="00932370" w:rsidP="00932370">
      <w:pPr>
        <w:pStyle w:val="maintext"/>
        <w:suppressAutoHyphens/>
        <w:spacing w:after="0" w:line="23" w:lineRule="atLeast"/>
      </w:pPr>
    </w:p>
    <w:p w14:paraId="64EA0FF3" w14:textId="77777777" w:rsidR="00932370" w:rsidRPr="008D395D" w:rsidRDefault="00932370" w:rsidP="00932370">
      <w:pPr>
        <w:spacing w:line="23" w:lineRule="atLeast"/>
        <w:rPr>
          <w:rFonts w:ascii="Calibri" w:hAnsi="Calibri" w:cstheme="minorHAnsi"/>
          <w:sz w:val="21"/>
          <w:szCs w:val="21"/>
          <w:lang w:val="el-GR"/>
        </w:rPr>
      </w:pPr>
    </w:p>
    <w:sectPr w:rsidR="00932370" w:rsidRPr="008D395D" w:rsidSect="00093DF3">
      <w:headerReference w:type="default" r:id="rId15"/>
      <w:footerReference w:type="default" r:id="rId16"/>
      <w:pgSz w:w="11906" w:h="16838"/>
      <w:pgMar w:top="179" w:right="1274" w:bottom="1438" w:left="1276" w:header="720" w:footer="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007B0" w14:textId="77777777" w:rsidR="00363E24" w:rsidRDefault="00363E24" w:rsidP="00B14017">
      <w:r>
        <w:separator/>
      </w:r>
    </w:p>
  </w:endnote>
  <w:endnote w:type="continuationSeparator" w:id="0">
    <w:p w14:paraId="27B62CFB" w14:textId="77777777" w:rsidR="00363E24" w:rsidRDefault="00363E24" w:rsidP="00B14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256565"/>
      <w:docPartObj>
        <w:docPartGallery w:val="Page Numbers (Bottom of Page)"/>
        <w:docPartUnique/>
      </w:docPartObj>
    </w:sdtPr>
    <w:sdtEndPr/>
    <w:sdtContent>
      <w:p w14:paraId="203A53D0" w14:textId="77777777" w:rsidR="008D395D" w:rsidRPr="002A77B6" w:rsidRDefault="008D395D" w:rsidP="00093DF3">
        <w:pPr>
          <w:pStyle w:val="Footer"/>
          <w:tabs>
            <w:tab w:val="center" w:pos="4678"/>
            <w:tab w:val="left" w:pos="7037"/>
          </w:tabs>
          <w:jc w:val="right"/>
          <w:rPr>
            <w:sz w:val="18"/>
            <w:lang w:val="el-GR"/>
          </w:rPr>
        </w:pPr>
        <w:r w:rsidRPr="002A77B6">
          <w:rPr>
            <w:sz w:val="18"/>
          </w:rPr>
          <w:fldChar w:fldCharType="begin"/>
        </w:r>
        <w:r w:rsidRPr="002A77B6">
          <w:rPr>
            <w:sz w:val="18"/>
          </w:rPr>
          <w:instrText>PAGE</w:instrText>
        </w:r>
        <w:r w:rsidRPr="002A77B6">
          <w:rPr>
            <w:sz w:val="18"/>
            <w:lang w:val="el-GR"/>
          </w:rPr>
          <w:instrText xml:space="preserve">   \* </w:instrText>
        </w:r>
        <w:r w:rsidRPr="002A77B6">
          <w:rPr>
            <w:sz w:val="18"/>
          </w:rPr>
          <w:instrText>MERGEFORMAT</w:instrText>
        </w:r>
        <w:r w:rsidRPr="002A77B6">
          <w:rPr>
            <w:sz w:val="18"/>
          </w:rPr>
          <w:fldChar w:fldCharType="separate"/>
        </w:r>
        <w:r w:rsidR="00DE09D7" w:rsidRPr="00DE09D7">
          <w:rPr>
            <w:noProof/>
            <w:sz w:val="18"/>
            <w:lang w:val="el-GR"/>
          </w:rPr>
          <w:t>4</w:t>
        </w:r>
        <w:r w:rsidRPr="002A77B6">
          <w:rPr>
            <w:sz w:val="18"/>
          </w:rPr>
          <w:fldChar w:fldCharType="end"/>
        </w:r>
      </w:p>
      <w:p w14:paraId="78AE0F1A" w14:textId="77777777" w:rsidR="008D395D" w:rsidRPr="00072021" w:rsidRDefault="008D395D" w:rsidP="00093DF3">
        <w:pPr>
          <w:pStyle w:val="Footer"/>
          <w:pBdr>
            <w:top w:val="single" w:sz="4" w:space="1" w:color="auto"/>
          </w:pBdr>
          <w:tabs>
            <w:tab w:val="center" w:pos="4678"/>
            <w:tab w:val="left" w:pos="7037"/>
          </w:tabs>
          <w:jc w:val="center"/>
          <w:rPr>
            <w:rFonts w:ascii="Tahoma" w:hAnsi="Tahoma" w:cs="Tahoma"/>
            <w:sz w:val="18"/>
            <w:szCs w:val="18"/>
            <w:lang w:val="el-GR"/>
          </w:rPr>
        </w:pPr>
        <w:r>
          <w:rPr>
            <w:lang w:val="el-GR"/>
          </w:rPr>
          <w:t xml:space="preserve"> </w:t>
        </w:r>
        <w:r w:rsidRPr="00072021">
          <w:rPr>
            <w:rFonts w:ascii="Tahoma" w:hAnsi="Tahoma" w:cs="Tahoma"/>
            <w:sz w:val="18"/>
            <w:szCs w:val="18"/>
            <w:lang w:val="el-GR"/>
          </w:rPr>
          <w:t>Βασ. Σοφίας 101, Πλατεία Μαβίλη, 115 21 Αθήνα</w:t>
        </w:r>
      </w:p>
      <w:p w14:paraId="48864FA8" w14:textId="77777777" w:rsidR="008D395D" w:rsidRPr="00343149" w:rsidRDefault="008D395D" w:rsidP="00093DF3">
        <w:pPr>
          <w:pStyle w:val="Footer"/>
          <w:jc w:val="center"/>
          <w:rPr>
            <w:rFonts w:ascii="Tahoma" w:hAnsi="Tahoma" w:cs="Tahoma"/>
            <w:sz w:val="18"/>
            <w:szCs w:val="18"/>
            <w:lang w:val="el-GR"/>
          </w:rPr>
        </w:pPr>
        <w:r w:rsidRPr="00072021">
          <w:rPr>
            <w:rFonts w:ascii="Tahoma" w:hAnsi="Tahoma" w:cs="Tahoma"/>
            <w:sz w:val="18"/>
            <w:szCs w:val="18"/>
            <w:lang w:val="el-GR"/>
          </w:rPr>
          <w:t>Τηλ</w:t>
        </w:r>
        <w:r w:rsidRPr="00343149">
          <w:rPr>
            <w:rFonts w:ascii="Tahoma" w:hAnsi="Tahoma" w:cs="Tahoma"/>
            <w:sz w:val="18"/>
            <w:szCs w:val="18"/>
            <w:lang w:val="el-GR"/>
          </w:rPr>
          <w:t xml:space="preserve">: 210 6470660  </w:t>
        </w:r>
        <w:r w:rsidRPr="00343149">
          <w:rPr>
            <w:rFonts w:ascii="Tahoma" w:hAnsi="Tahoma" w:cs="Tahoma"/>
            <w:spacing w:val="20"/>
            <w:sz w:val="18"/>
            <w:szCs w:val="18"/>
            <w:lang w:val="el-GR"/>
          </w:rPr>
          <w:t xml:space="preserve">• </w:t>
        </w:r>
        <w:r w:rsidRPr="00072021">
          <w:rPr>
            <w:rFonts w:ascii="Tahoma" w:hAnsi="Tahoma" w:cs="Tahoma"/>
            <w:sz w:val="18"/>
            <w:szCs w:val="18"/>
            <w:lang w:val="en-US"/>
          </w:rPr>
          <w:t>Fax</w:t>
        </w:r>
        <w:r w:rsidRPr="00343149">
          <w:rPr>
            <w:rFonts w:ascii="Tahoma" w:hAnsi="Tahoma" w:cs="Tahoma"/>
            <w:sz w:val="18"/>
            <w:szCs w:val="18"/>
            <w:lang w:val="el-GR"/>
          </w:rPr>
          <w:t xml:space="preserve">: 210 6470661  </w:t>
        </w:r>
        <w:r w:rsidRPr="00343149">
          <w:rPr>
            <w:rFonts w:ascii="Tahoma" w:hAnsi="Tahoma" w:cs="Tahoma"/>
            <w:spacing w:val="20"/>
            <w:sz w:val="18"/>
            <w:szCs w:val="18"/>
            <w:lang w:val="el-GR"/>
          </w:rPr>
          <w:t xml:space="preserve">• </w:t>
        </w:r>
        <w:r w:rsidRPr="00072021">
          <w:rPr>
            <w:rFonts w:ascii="Tahoma" w:hAnsi="Tahoma" w:cs="Tahoma"/>
            <w:sz w:val="18"/>
            <w:szCs w:val="18"/>
            <w:lang w:val="en-US"/>
          </w:rPr>
          <w:t>email</w:t>
        </w:r>
        <w:r w:rsidRPr="00343149">
          <w:rPr>
            <w:rFonts w:ascii="Tahoma" w:hAnsi="Tahoma" w:cs="Tahoma"/>
            <w:sz w:val="18"/>
            <w:szCs w:val="18"/>
            <w:lang w:val="el-GR"/>
          </w:rPr>
          <w:t xml:space="preserve">: </w:t>
        </w:r>
        <w:hyperlink r:id="rId1" w:history="1">
          <w:r w:rsidRPr="00072021">
            <w:rPr>
              <w:rStyle w:val="Hyperlink"/>
              <w:rFonts w:ascii="Tahoma" w:hAnsi="Tahoma" w:cs="Tahoma"/>
              <w:sz w:val="18"/>
              <w:szCs w:val="18"/>
              <w:lang w:val="en-US"/>
            </w:rPr>
            <w:t>info</w:t>
          </w:r>
          <w:r w:rsidRPr="00343149">
            <w:rPr>
              <w:rStyle w:val="Hyperlink"/>
              <w:rFonts w:ascii="Tahoma" w:hAnsi="Tahoma" w:cs="Tahoma"/>
              <w:sz w:val="18"/>
              <w:szCs w:val="18"/>
              <w:lang w:val="el-GR"/>
            </w:rPr>
            <w:t>@</w:t>
          </w:r>
          <w:r w:rsidRPr="00072021">
            <w:rPr>
              <w:rStyle w:val="Hyperlink"/>
              <w:rFonts w:ascii="Tahoma" w:hAnsi="Tahoma" w:cs="Tahoma"/>
              <w:sz w:val="18"/>
              <w:szCs w:val="18"/>
              <w:lang w:val="en-US"/>
            </w:rPr>
            <w:t>sesma</w:t>
          </w:r>
          <w:r w:rsidRPr="00343149">
            <w:rPr>
              <w:rStyle w:val="Hyperlink"/>
              <w:rFonts w:ascii="Tahoma" w:hAnsi="Tahoma" w:cs="Tahoma"/>
              <w:sz w:val="18"/>
              <w:szCs w:val="18"/>
              <w:lang w:val="el-GR"/>
            </w:rPr>
            <w:t>.</w:t>
          </w:r>
          <w:r w:rsidRPr="00072021">
            <w:rPr>
              <w:rStyle w:val="Hyperlink"/>
              <w:rFonts w:ascii="Tahoma" w:hAnsi="Tahoma" w:cs="Tahoma"/>
              <w:sz w:val="18"/>
              <w:szCs w:val="18"/>
              <w:lang w:val="en-US"/>
            </w:rPr>
            <w:t>gr</w:t>
          </w:r>
        </w:hyperlink>
        <w:r w:rsidRPr="00343149">
          <w:rPr>
            <w:rFonts w:ascii="Tahoma" w:hAnsi="Tahoma" w:cs="Tahoma"/>
            <w:sz w:val="18"/>
            <w:szCs w:val="18"/>
            <w:lang w:val="el-GR"/>
          </w:rPr>
          <w:t xml:space="preserve">  </w:t>
        </w:r>
        <w:r w:rsidRPr="00343149">
          <w:rPr>
            <w:rFonts w:ascii="Tahoma" w:hAnsi="Tahoma" w:cs="Tahoma"/>
            <w:spacing w:val="20"/>
            <w:sz w:val="18"/>
            <w:szCs w:val="18"/>
            <w:lang w:val="el-GR"/>
          </w:rPr>
          <w:t xml:space="preserve">• </w:t>
        </w:r>
        <w:r w:rsidRPr="00343149">
          <w:rPr>
            <w:rFonts w:ascii="Tahoma" w:hAnsi="Tahoma" w:cs="Tahoma"/>
            <w:sz w:val="18"/>
            <w:szCs w:val="18"/>
            <w:lang w:val="el-GR"/>
          </w:rPr>
          <w:t xml:space="preserve"> </w:t>
        </w:r>
        <w:r w:rsidRPr="00072021">
          <w:rPr>
            <w:rFonts w:ascii="Tahoma" w:hAnsi="Tahoma" w:cs="Tahoma"/>
            <w:sz w:val="18"/>
            <w:szCs w:val="18"/>
            <w:lang w:val="en-US"/>
          </w:rPr>
          <w:t>website</w:t>
        </w:r>
        <w:r w:rsidRPr="00343149">
          <w:rPr>
            <w:rFonts w:ascii="Tahoma" w:hAnsi="Tahoma" w:cs="Tahoma"/>
            <w:sz w:val="18"/>
            <w:szCs w:val="18"/>
            <w:lang w:val="el-GR"/>
          </w:rPr>
          <w:t xml:space="preserve">: </w:t>
        </w:r>
        <w:hyperlink r:id="rId2" w:history="1">
          <w:r w:rsidRPr="00072021">
            <w:rPr>
              <w:rStyle w:val="Hyperlink"/>
              <w:rFonts w:ascii="Tahoma" w:hAnsi="Tahoma" w:cs="Tahoma"/>
              <w:sz w:val="18"/>
              <w:szCs w:val="18"/>
              <w:lang w:val="en-US"/>
            </w:rPr>
            <w:t>www</w:t>
          </w:r>
          <w:r w:rsidRPr="00343149">
            <w:rPr>
              <w:rStyle w:val="Hyperlink"/>
              <w:rFonts w:ascii="Tahoma" w:hAnsi="Tahoma" w:cs="Tahoma"/>
              <w:sz w:val="18"/>
              <w:szCs w:val="18"/>
              <w:lang w:val="el-GR"/>
            </w:rPr>
            <w:t>.</w:t>
          </w:r>
          <w:r w:rsidRPr="00072021">
            <w:rPr>
              <w:rStyle w:val="Hyperlink"/>
              <w:rFonts w:ascii="Tahoma" w:hAnsi="Tahoma" w:cs="Tahoma"/>
              <w:sz w:val="18"/>
              <w:szCs w:val="18"/>
              <w:lang w:val="en-US"/>
            </w:rPr>
            <w:t>sesma</w:t>
          </w:r>
          <w:r w:rsidRPr="00343149">
            <w:rPr>
              <w:rStyle w:val="Hyperlink"/>
              <w:rFonts w:ascii="Tahoma" w:hAnsi="Tahoma" w:cs="Tahoma"/>
              <w:sz w:val="18"/>
              <w:szCs w:val="18"/>
              <w:lang w:val="el-GR"/>
            </w:rPr>
            <w:t>.</w:t>
          </w:r>
          <w:r w:rsidRPr="00072021">
            <w:rPr>
              <w:rStyle w:val="Hyperlink"/>
              <w:rFonts w:ascii="Tahoma" w:hAnsi="Tahoma" w:cs="Tahoma"/>
              <w:sz w:val="18"/>
              <w:szCs w:val="18"/>
              <w:lang w:val="en-US"/>
            </w:rPr>
            <w:t>gr</w:t>
          </w:r>
        </w:hyperlink>
      </w:p>
      <w:p w14:paraId="63AAB992" w14:textId="77777777" w:rsidR="008D395D" w:rsidRDefault="008D395D" w:rsidP="00093DF3">
        <w:pPr>
          <w:pStyle w:val="Footer"/>
          <w:tabs>
            <w:tab w:val="center" w:pos="4678"/>
          </w:tabs>
        </w:pPr>
        <w:r w:rsidRPr="00343149">
          <w:rPr>
            <w:lang w:val="el-GR"/>
          </w:rPr>
          <w:tab/>
        </w:r>
        <w:r w:rsidRPr="00343149">
          <w:rPr>
            <w:lang w:val="el-GR"/>
          </w:rPr>
          <w:tab/>
        </w:r>
      </w:p>
    </w:sdtContent>
  </w:sdt>
  <w:p w14:paraId="279DF234" w14:textId="77777777" w:rsidR="008D395D" w:rsidRPr="00997DAC" w:rsidRDefault="008D395D" w:rsidP="00093DF3">
    <w:pPr>
      <w:pStyle w:val="Footer"/>
      <w:jc w:val="center"/>
      <w:rPr>
        <w:rFonts w:cs="Tahoma"/>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893DC" w14:textId="77777777" w:rsidR="00363E24" w:rsidRDefault="00363E24" w:rsidP="00B14017">
      <w:r>
        <w:separator/>
      </w:r>
    </w:p>
  </w:footnote>
  <w:footnote w:type="continuationSeparator" w:id="0">
    <w:p w14:paraId="2A9711A5" w14:textId="77777777" w:rsidR="00363E24" w:rsidRDefault="00363E24" w:rsidP="00B14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7A7B8" w14:textId="77777777" w:rsidR="008D395D" w:rsidRDefault="008D395D" w:rsidP="0010259F">
    <w:pPr>
      <w:pStyle w:val="Footer"/>
      <w:pBdr>
        <w:bottom w:val="single" w:sz="4" w:space="1" w:color="auto"/>
      </w:pBdr>
      <w:jc w:val="center"/>
    </w:pPr>
    <w:r>
      <w:rPr>
        <w:noProof/>
        <w:lang w:val="el-GR"/>
      </w:rPr>
      <w:drawing>
        <wp:inline distT="0" distB="0" distL="0" distR="0" wp14:anchorId="285B6948" wp14:editId="55E2C0D4">
          <wp:extent cx="1825138" cy="936462"/>
          <wp:effectExtent l="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0298" cy="944240"/>
                  </a:xfrm>
                  <a:prstGeom prst="rect">
                    <a:avLst/>
                  </a:prstGeom>
                  <a:noFill/>
                  <a:ln>
                    <a:noFill/>
                  </a:ln>
                </pic:spPr>
              </pic:pic>
            </a:graphicData>
          </a:graphic>
        </wp:inline>
      </w:drawing>
    </w:r>
  </w:p>
  <w:p w14:paraId="4619DE70" w14:textId="77777777" w:rsidR="008D395D" w:rsidRPr="00997DAC" w:rsidRDefault="008D395D" w:rsidP="0010259F">
    <w:pPr>
      <w:pStyle w:val="Footer"/>
      <w:pBdr>
        <w:bottom w:val="single" w:sz="4" w:space="1" w:color="auto"/>
      </w:pBdr>
      <w:jc w:val="center"/>
      <w:rPr>
        <w:rFonts w:cs="Tahoma"/>
        <w:spacing w:val="20"/>
        <w:sz w:val="15"/>
        <w:szCs w:val="15"/>
        <w:lang w:val="el-GR"/>
      </w:rPr>
    </w:pPr>
    <w:r w:rsidRPr="00997DAC">
      <w:rPr>
        <w:rFonts w:cs="Tahoma"/>
        <w:spacing w:val="20"/>
        <w:sz w:val="15"/>
        <w:szCs w:val="15"/>
        <w:lang w:val="el-GR"/>
      </w:rPr>
      <w:t xml:space="preserve"> ΜΕΛΟΣ ΤΗΣ ΕΥΡΩΠΑΪΚΗΣ ΟΜΟΣΠΟΝΔΙΑΣ ΕΝΩΣΕΩΝ ΣΥΜΒΟΥΛΩΝ ΜΑΝΑΤΖΜΕΝΤ (</w:t>
    </w:r>
    <w:r w:rsidRPr="00997DAC">
      <w:rPr>
        <w:rFonts w:cs="Tahoma"/>
        <w:spacing w:val="20"/>
        <w:sz w:val="15"/>
        <w:szCs w:val="15"/>
        <w:lang w:val="en-US"/>
      </w:rPr>
      <w:t>FEACO</w:t>
    </w:r>
    <w:r w:rsidRPr="00997DAC">
      <w:rPr>
        <w:rFonts w:cs="Tahoma"/>
        <w:spacing w:val="20"/>
        <w:sz w:val="15"/>
        <w:szCs w:val="15"/>
        <w:lang w:val="el-G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EDB"/>
    <w:multiLevelType w:val="hybridMultilevel"/>
    <w:tmpl w:val="1FF8CA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9564D02"/>
    <w:multiLevelType w:val="hybridMultilevel"/>
    <w:tmpl w:val="244A99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E044F98"/>
    <w:multiLevelType w:val="hybridMultilevel"/>
    <w:tmpl w:val="786C4188"/>
    <w:lvl w:ilvl="0" w:tplc="0408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D0C5C"/>
    <w:multiLevelType w:val="hybridMultilevel"/>
    <w:tmpl w:val="5A4A38B0"/>
    <w:lvl w:ilvl="0" w:tplc="0A6E8F5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A62BC"/>
    <w:multiLevelType w:val="hybridMultilevel"/>
    <w:tmpl w:val="9DC88224"/>
    <w:lvl w:ilvl="0" w:tplc="0409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29570E1"/>
    <w:multiLevelType w:val="hybridMultilevel"/>
    <w:tmpl w:val="7A1036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5FE4D4C"/>
    <w:multiLevelType w:val="hybridMultilevel"/>
    <w:tmpl w:val="62468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15D6B"/>
    <w:multiLevelType w:val="hybridMultilevel"/>
    <w:tmpl w:val="1112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B04B7"/>
    <w:multiLevelType w:val="hybridMultilevel"/>
    <w:tmpl w:val="4DAE61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7295943"/>
    <w:multiLevelType w:val="hybridMultilevel"/>
    <w:tmpl w:val="FA5AFBF8"/>
    <w:lvl w:ilvl="0" w:tplc="0409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C287E43"/>
    <w:multiLevelType w:val="hybridMultilevel"/>
    <w:tmpl w:val="4B62869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15:restartNumberingAfterBreak="0">
    <w:nsid w:val="430562DC"/>
    <w:multiLevelType w:val="hybridMultilevel"/>
    <w:tmpl w:val="2BEC8B54"/>
    <w:lvl w:ilvl="0" w:tplc="0409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6D76C54"/>
    <w:multiLevelType w:val="hybridMultilevel"/>
    <w:tmpl w:val="5D0ADFF6"/>
    <w:lvl w:ilvl="0" w:tplc="0409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49080832"/>
    <w:multiLevelType w:val="hybridMultilevel"/>
    <w:tmpl w:val="DAA69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1745D2"/>
    <w:multiLevelType w:val="hybridMultilevel"/>
    <w:tmpl w:val="A17A4F40"/>
    <w:lvl w:ilvl="0" w:tplc="F684B310">
      <w:start w:val="1"/>
      <w:numFmt w:val="bullet"/>
      <w:lvlText w:val="▫"/>
      <w:lvlJc w:val="left"/>
      <w:pPr>
        <w:ind w:left="360" w:hanging="360"/>
      </w:pPr>
      <w:rPr>
        <w:rFonts w:ascii="Calibri" w:hAnsi="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539709F3"/>
    <w:multiLevelType w:val="hybridMultilevel"/>
    <w:tmpl w:val="7FBCCDFA"/>
    <w:lvl w:ilvl="0" w:tplc="0409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547C5C57"/>
    <w:multiLevelType w:val="hybridMultilevel"/>
    <w:tmpl w:val="1112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7B5612"/>
    <w:multiLevelType w:val="hybridMultilevel"/>
    <w:tmpl w:val="22A43226"/>
    <w:lvl w:ilvl="0" w:tplc="04090005">
      <w:start w:val="1"/>
      <w:numFmt w:val="bullet"/>
      <w:lvlText w:val=""/>
      <w:lvlJc w:val="left"/>
      <w:pPr>
        <w:ind w:left="360" w:hanging="360"/>
      </w:pPr>
      <w:rPr>
        <w:rFonts w:ascii="Wingdings" w:hAnsi="Wingdings" w:hint="default"/>
      </w:rPr>
    </w:lvl>
    <w:lvl w:ilvl="1" w:tplc="F684B310">
      <w:start w:val="1"/>
      <w:numFmt w:val="bullet"/>
      <w:lvlText w:val="▫"/>
      <w:lvlJc w:val="left"/>
      <w:pPr>
        <w:ind w:left="1080" w:hanging="360"/>
      </w:pPr>
      <w:rPr>
        <w:rFonts w:ascii="Calibri" w:hAnsi="Calibri"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5BCF67A1"/>
    <w:multiLevelType w:val="hybridMultilevel"/>
    <w:tmpl w:val="AF62CDEE"/>
    <w:lvl w:ilvl="0" w:tplc="0408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271A1"/>
    <w:multiLevelType w:val="multilevel"/>
    <w:tmpl w:val="2012A2A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4B69EA"/>
    <w:multiLevelType w:val="hybridMultilevel"/>
    <w:tmpl w:val="D514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F94922"/>
    <w:multiLevelType w:val="hybridMultilevel"/>
    <w:tmpl w:val="AE0693B8"/>
    <w:lvl w:ilvl="0" w:tplc="04080001">
      <w:start w:val="1"/>
      <w:numFmt w:val="bullet"/>
      <w:lvlText w:val=""/>
      <w:lvlJc w:val="left"/>
      <w:pPr>
        <w:ind w:left="1791" w:hanging="360"/>
      </w:pPr>
      <w:rPr>
        <w:rFonts w:ascii="Symbol" w:hAnsi="Symbol" w:hint="default"/>
      </w:rPr>
    </w:lvl>
    <w:lvl w:ilvl="1" w:tplc="04080003" w:tentative="1">
      <w:start w:val="1"/>
      <w:numFmt w:val="bullet"/>
      <w:lvlText w:val="o"/>
      <w:lvlJc w:val="left"/>
      <w:pPr>
        <w:ind w:left="2511" w:hanging="360"/>
      </w:pPr>
      <w:rPr>
        <w:rFonts w:ascii="Courier New" w:hAnsi="Courier New" w:cs="Courier New" w:hint="default"/>
      </w:rPr>
    </w:lvl>
    <w:lvl w:ilvl="2" w:tplc="04080005" w:tentative="1">
      <w:start w:val="1"/>
      <w:numFmt w:val="bullet"/>
      <w:lvlText w:val=""/>
      <w:lvlJc w:val="left"/>
      <w:pPr>
        <w:ind w:left="3231" w:hanging="360"/>
      </w:pPr>
      <w:rPr>
        <w:rFonts w:ascii="Wingdings" w:hAnsi="Wingdings" w:hint="default"/>
      </w:rPr>
    </w:lvl>
    <w:lvl w:ilvl="3" w:tplc="04080001" w:tentative="1">
      <w:start w:val="1"/>
      <w:numFmt w:val="bullet"/>
      <w:lvlText w:val=""/>
      <w:lvlJc w:val="left"/>
      <w:pPr>
        <w:ind w:left="3951" w:hanging="360"/>
      </w:pPr>
      <w:rPr>
        <w:rFonts w:ascii="Symbol" w:hAnsi="Symbol" w:hint="default"/>
      </w:rPr>
    </w:lvl>
    <w:lvl w:ilvl="4" w:tplc="04080003" w:tentative="1">
      <w:start w:val="1"/>
      <w:numFmt w:val="bullet"/>
      <w:lvlText w:val="o"/>
      <w:lvlJc w:val="left"/>
      <w:pPr>
        <w:ind w:left="4671" w:hanging="360"/>
      </w:pPr>
      <w:rPr>
        <w:rFonts w:ascii="Courier New" w:hAnsi="Courier New" w:cs="Courier New" w:hint="default"/>
      </w:rPr>
    </w:lvl>
    <w:lvl w:ilvl="5" w:tplc="04080005" w:tentative="1">
      <w:start w:val="1"/>
      <w:numFmt w:val="bullet"/>
      <w:lvlText w:val=""/>
      <w:lvlJc w:val="left"/>
      <w:pPr>
        <w:ind w:left="5391" w:hanging="360"/>
      </w:pPr>
      <w:rPr>
        <w:rFonts w:ascii="Wingdings" w:hAnsi="Wingdings" w:hint="default"/>
      </w:rPr>
    </w:lvl>
    <w:lvl w:ilvl="6" w:tplc="04080001" w:tentative="1">
      <w:start w:val="1"/>
      <w:numFmt w:val="bullet"/>
      <w:lvlText w:val=""/>
      <w:lvlJc w:val="left"/>
      <w:pPr>
        <w:ind w:left="6111" w:hanging="360"/>
      </w:pPr>
      <w:rPr>
        <w:rFonts w:ascii="Symbol" w:hAnsi="Symbol" w:hint="default"/>
      </w:rPr>
    </w:lvl>
    <w:lvl w:ilvl="7" w:tplc="04080003" w:tentative="1">
      <w:start w:val="1"/>
      <w:numFmt w:val="bullet"/>
      <w:lvlText w:val="o"/>
      <w:lvlJc w:val="left"/>
      <w:pPr>
        <w:ind w:left="6831" w:hanging="360"/>
      </w:pPr>
      <w:rPr>
        <w:rFonts w:ascii="Courier New" w:hAnsi="Courier New" w:cs="Courier New" w:hint="default"/>
      </w:rPr>
    </w:lvl>
    <w:lvl w:ilvl="8" w:tplc="04080005" w:tentative="1">
      <w:start w:val="1"/>
      <w:numFmt w:val="bullet"/>
      <w:lvlText w:val=""/>
      <w:lvlJc w:val="left"/>
      <w:pPr>
        <w:ind w:left="7551" w:hanging="360"/>
      </w:pPr>
      <w:rPr>
        <w:rFonts w:ascii="Wingdings" w:hAnsi="Wingdings" w:hint="default"/>
      </w:rPr>
    </w:lvl>
  </w:abstractNum>
  <w:num w:numId="1">
    <w:abstractNumId w:val="1"/>
  </w:num>
  <w:num w:numId="2">
    <w:abstractNumId w:val="10"/>
  </w:num>
  <w:num w:numId="3">
    <w:abstractNumId w:val="0"/>
  </w:num>
  <w:num w:numId="4">
    <w:abstractNumId w:val="16"/>
  </w:num>
  <w:num w:numId="5">
    <w:abstractNumId w:val="13"/>
  </w:num>
  <w:num w:numId="6">
    <w:abstractNumId w:val="2"/>
  </w:num>
  <w:num w:numId="7">
    <w:abstractNumId w:val="18"/>
  </w:num>
  <w:num w:numId="8">
    <w:abstractNumId w:val="6"/>
  </w:num>
  <w:num w:numId="9">
    <w:abstractNumId w:val="7"/>
  </w:num>
  <w:num w:numId="10">
    <w:abstractNumId w:val="19"/>
  </w:num>
  <w:num w:numId="11">
    <w:abstractNumId w:val="3"/>
  </w:num>
  <w:num w:numId="12">
    <w:abstractNumId w:val="8"/>
  </w:num>
  <w:num w:numId="13">
    <w:abstractNumId w:val="21"/>
  </w:num>
  <w:num w:numId="14">
    <w:abstractNumId w:val="5"/>
  </w:num>
  <w:num w:numId="15">
    <w:abstractNumId w:val="9"/>
  </w:num>
  <w:num w:numId="16">
    <w:abstractNumId w:val="15"/>
  </w:num>
  <w:num w:numId="17">
    <w:abstractNumId w:val="4"/>
  </w:num>
  <w:num w:numId="18">
    <w:abstractNumId w:val="11"/>
  </w:num>
  <w:num w:numId="19">
    <w:abstractNumId w:val="12"/>
  </w:num>
  <w:num w:numId="20">
    <w:abstractNumId w:val="17"/>
  </w:num>
  <w:num w:numId="21">
    <w:abstractNumId w:val="1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39"/>
    <w:rsid w:val="00000E9E"/>
    <w:rsid w:val="00001BC2"/>
    <w:rsid w:val="00002968"/>
    <w:rsid w:val="00006D87"/>
    <w:rsid w:val="000170A9"/>
    <w:rsid w:val="000205F6"/>
    <w:rsid w:val="00030180"/>
    <w:rsid w:val="00030B23"/>
    <w:rsid w:val="000321BA"/>
    <w:rsid w:val="0003500E"/>
    <w:rsid w:val="00046534"/>
    <w:rsid w:val="000523AA"/>
    <w:rsid w:val="00057008"/>
    <w:rsid w:val="00057EB0"/>
    <w:rsid w:val="0006105D"/>
    <w:rsid w:val="000633B4"/>
    <w:rsid w:val="000648F3"/>
    <w:rsid w:val="00072021"/>
    <w:rsid w:val="00077086"/>
    <w:rsid w:val="00080985"/>
    <w:rsid w:val="00083B95"/>
    <w:rsid w:val="00086555"/>
    <w:rsid w:val="000906B0"/>
    <w:rsid w:val="00093DF3"/>
    <w:rsid w:val="000A4B17"/>
    <w:rsid w:val="000B11F7"/>
    <w:rsid w:val="000C3A88"/>
    <w:rsid w:val="000C4118"/>
    <w:rsid w:val="000C4F9B"/>
    <w:rsid w:val="000C5D25"/>
    <w:rsid w:val="000D0B4D"/>
    <w:rsid w:val="0010259F"/>
    <w:rsid w:val="00107574"/>
    <w:rsid w:val="00116D17"/>
    <w:rsid w:val="001207AA"/>
    <w:rsid w:val="001247D3"/>
    <w:rsid w:val="00126D4E"/>
    <w:rsid w:val="001418E3"/>
    <w:rsid w:val="00155491"/>
    <w:rsid w:val="00173B55"/>
    <w:rsid w:val="0018591F"/>
    <w:rsid w:val="0019202B"/>
    <w:rsid w:val="00193019"/>
    <w:rsid w:val="001A54AF"/>
    <w:rsid w:val="001A7392"/>
    <w:rsid w:val="001A771B"/>
    <w:rsid w:val="001B1E72"/>
    <w:rsid w:val="001B22D3"/>
    <w:rsid w:val="001C5C5F"/>
    <w:rsid w:val="001D44A0"/>
    <w:rsid w:val="001E5C51"/>
    <w:rsid w:val="001F7CCA"/>
    <w:rsid w:val="00207D8A"/>
    <w:rsid w:val="00214830"/>
    <w:rsid w:val="00215699"/>
    <w:rsid w:val="00220A0B"/>
    <w:rsid w:val="002221E8"/>
    <w:rsid w:val="00222C5C"/>
    <w:rsid w:val="002528B0"/>
    <w:rsid w:val="00256766"/>
    <w:rsid w:val="00260461"/>
    <w:rsid w:val="002650A3"/>
    <w:rsid w:val="00265226"/>
    <w:rsid w:val="002775A7"/>
    <w:rsid w:val="0029201F"/>
    <w:rsid w:val="002A77B6"/>
    <w:rsid w:val="002C1146"/>
    <w:rsid w:val="002C2016"/>
    <w:rsid w:val="002C3CC8"/>
    <w:rsid w:val="002E40C3"/>
    <w:rsid w:val="002E5AE4"/>
    <w:rsid w:val="002F1FC9"/>
    <w:rsid w:val="002F4600"/>
    <w:rsid w:val="003072C2"/>
    <w:rsid w:val="0031094E"/>
    <w:rsid w:val="00313917"/>
    <w:rsid w:val="00314333"/>
    <w:rsid w:val="00327E0F"/>
    <w:rsid w:val="00332C16"/>
    <w:rsid w:val="00333765"/>
    <w:rsid w:val="00334B5F"/>
    <w:rsid w:val="00343149"/>
    <w:rsid w:val="003513AA"/>
    <w:rsid w:val="00363E24"/>
    <w:rsid w:val="0036413A"/>
    <w:rsid w:val="003713DB"/>
    <w:rsid w:val="00372311"/>
    <w:rsid w:val="0037424B"/>
    <w:rsid w:val="00382499"/>
    <w:rsid w:val="003A22C9"/>
    <w:rsid w:val="003A4C86"/>
    <w:rsid w:val="003A7CEA"/>
    <w:rsid w:val="003B4C85"/>
    <w:rsid w:val="003C36F8"/>
    <w:rsid w:val="003C67F9"/>
    <w:rsid w:val="003D29A7"/>
    <w:rsid w:val="003D4DA2"/>
    <w:rsid w:val="003E1282"/>
    <w:rsid w:val="003E1ADB"/>
    <w:rsid w:val="003E49E6"/>
    <w:rsid w:val="003F61C4"/>
    <w:rsid w:val="00405989"/>
    <w:rsid w:val="00407054"/>
    <w:rsid w:val="004113C9"/>
    <w:rsid w:val="00412B60"/>
    <w:rsid w:val="0042264F"/>
    <w:rsid w:val="00425D95"/>
    <w:rsid w:val="0042663A"/>
    <w:rsid w:val="0043693E"/>
    <w:rsid w:val="00440250"/>
    <w:rsid w:val="004408A3"/>
    <w:rsid w:val="00462464"/>
    <w:rsid w:val="0047774A"/>
    <w:rsid w:val="00482E4E"/>
    <w:rsid w:val="004909DC"/>
    <w:rsid w:val="00492B7C"/>
    <w:rsid w:val="00495765"/>
    <w:rsid w:val="00497159"/>
    <w:rsid w:val="004A189B"/>
    <w:rsid w:val="004A59A8"/>
    <w:rsid w:val="004A607E"/>
    <w:rsid w:val="004B0CF3"/>
    <w:rsid w:val="004C07E5"/>
    <w:rsid w:val="004D11D4"/>
    <w:rsid w:val="004D29A3"/>
    <w:rsid w:val="004E0B38"/>
    <w:rsid w:val="004E1B31"/>
    <w:rsid w:val="004F44F7"/>
    <w:rsid w:val="004F4B27"/>
    <w:rsid w:val="00502B24"/>
    <w:rsid w:val="0050706F"/>
    <w:rsid w:val="00517610"/>
    <w:rsid w:val="005335E6"/>
    <w:rsid w:val="005504C0"/>
    <w:rsid w:val="00552F64"/>
    <w:rsid w:val="00556915"/>
    <w:rsid w:val="0056004D"/>
    <w:rsid w:val="00560B00"/>
    <w:rsid w:val="005649B6"/>
    <w:rsid w:val="00567AB1"/>
    <w:rsid w:val="005712B7"/>
    <w:rsid w:val="00572E7B"/>
    <w:rsid w:val="00573C1E"/>
    <w:rsid w:val="00584566"/>
    <w:rsid w:val="00590D2E"/>
    <w:rsid w:val="00597412"/>
    <w:rsid w:val="005A3549"/>
    <w:rsid w:val="005A5966"/>
    <w:rsid w:val="005B2FB8"/>
    <w:rsid w:val="005B725D"/>
    <w:rsid w:val="005C1E79"/>
    <w:rsid w:val="005C2E45"/>
    <w:rsid w:val="005C49A2"/>
    <w:rsid w:val="005D4A31"/>
    <w:rsid w:val="005D5119"/>
    <w:rsid w:val="005E0A8C"/>
    <w:rsid w:val="005E5EC3"/>
    <w:rsid w:val="005F1739"/>
    <w:rsid w:val="005F1F98"/>
    <w:rsid w:val="0060664F"/>
    <w:rsid w:val="00607D24"/>
    <w:rsid w:val="006106C5"/>
    <w:rsid w:val="00615FD0"/>
    <w:rsid w:val="0061761A"/>
    <w:rsid w:val="00650DBA"/>
    <w:rsid w:val="00662A42"/>
    <w:rsid w:val="00662F78"/>
    <w:rsid w:val="00670C7A"/>
    <w:rsid w:val="006713F2"/>
    <w:rsid w:val="0067443E"/>
    <w:rsid w:val="00681A82"/>
    <w:rsid w:val="006858DD"/>
    <w:rsid w:val="006929B4"/>
    <w:rsid w:val="00692E67"/>
    <w:rsid w:val="006A04CD"/>
    <w:rsid w:val="006A3E88"/>
    <w:rsid w:val="006B3DE9"/>
    <w:rsid w:val="006B443C"/>
    <w:rsid w:val="006B7246"/>
    <w:rsid w:val="006F3BAE"/>
    <w:rsid w:val="006F6FD2"/>
    <w:rsid w:val="007026EB"/>
    <w:rsid w:val="00704256"/>
    <w:rsid w:val="00714E0D"/>
    <w:rsid w:val="0072099B"/>
    <w:rsid w:val="00720D33"/>
    <w:rsid w:val="00722A50"/>
    <w:rsid w:val="00731520"/>
    <w:rsid w:val="00733A57"/>
    <w:rsid w:val="00736A5E"/>
    <w:rsid w:val="00743D1E"/>
    <w:rsid w:val="00745F30"/>
    <w:rsid w:val="007559F5"/>
    <w:rsid w:val="00763506"/>
    <w:rsid w:val="00764C90"/>
    <w:rsid w:val="00793DAD"/>
    <w:rsid w:val="00794662"/>
    <w:rsid w:val="00795362"/>
    <w:rsid w:val="007B6F46"/>
    <w:rsid w:val="007B78B4"/>
    <w:rsid w:val="007C5F8D"/>
    <w:rsid w:val="007C6B64"/>
    <w:rsid w:val="007C709D"/>
    <w:rsid w:val="007D6481"/>
    <w:rsid w:val="007D7D89"/>
    <w:rsid w:val="007E1576"/>
    <w:rsid w:val="007E5198"/>
    <w:rsid w:val="007E64A3"/>
    <w:rsid w:val="007F50FE"/>
    <w:rsid w:val="008005D4"/>
    <w:rsid w:val="008066E3"/>
    <w:rsid w:val="008135FA"/>
    <w:rsid w:val="00842B10"/>
    <w:rsid w:val="00846730"/>
    <w:rsid w:val="008509FD"/>
    <w:rsid w:val="00884E04"/>
    <w:rsid w:val="0088607B"/>
    <w:rsid w:val="00893697"/>
    <w:rsid w:val="00895B43"/>
    <w:rsid w:val="008B4E5E"/>
    <w:rsid w:val="008B6715"/>
    <w:rsid w:val="008C1CB8"/>
    <w:rsid w:val="008C42AA"/>
    <w:rsid w:val="008D395D"/>
    <w:rsid w:val="008E29EE"/>
    <w:rsid w:val="008E7D00"/>
    <w:rsid w:val="008F16EC"/>
    <w:rsid w:val="008F42BB"/>
    <w:rsid w:val="00901B37"/>
    <w:rsid w:val="009113F3"/>
    <w:rsid w:val="00911CF1"/>
    <w:rsid w:val="00917961"/>
    <w:rsid w:val="00922FE2"/>
    <w:rsid w:val="009277D0"/>
    <w:rsid w:val="009303F6"/>
    <w:rsid w:val="00932370"/>
    <w:rsid w:val="009331BD"/>
    <w:rsid w:val="009368A3"/>
    <w:rsid w:val="00941854"/>
    <w:rsid w:val="00941F37"/>
    <w:rsid w:val="00952B92"/>
    <w:rsid w:val="009605FE"/>
    <w:rsid w:val="00962C17"/>
    <w:rsid w:val="00970869"/>
    <w:rsid w:val="00972768"/>
    <w:rsid w:val="009754C7"/>
    <w:rsid w:val="0098442D"/>
    <w:rsid w:val="00987EA8"/>
    <w:rsid w:val="009901F0"/>
    <w:rsid w:val="0099515C"/>
    <w:rsid w:val="00997DAC"/>
    <w:rsid w:val="009A01EA"/>
    <w:rsid w:val="009A1C03"/>
    <w:rsid w:val="009A2558"/>
    <w:rsid w:val="009B01F2"/>
    <w:rsid w:val="009C3D31"/>
    <w:rsid w:val="009C7EB6"/>
    <w:rsid w:val="009D139F"/>
    <w:rsid w:val="009D23C5"/>
    <w:rsid w:val="009E4162"/>
    <w:rsid w:val="009F41CC"/>
    <w:rsid w:val="00A118C7"/>
    <w:rsid w:val="00A2004A"/>
    <w:rsid w:val="00A215F1"/>
    <w:rsid w:val="00A2255C"/>
    <w:rsid w:val="00A23967"/>
    <w:rsid w:val="00A335A6"/>
    <w:rsid w:val="00A416F7"/>
    <w:rsid w:val="00A47321"/>
    <w:rsid w:val="00A57F70"/>
    <w:rsid w:val="00A62D78"/>
    <w:rsid w:val="00A66398"/>
    <w:rsid w:val="00A679BA"/>
    <w:rsid w:val="00A74872"/>
    <w:rsid w:val="00A80236"/>
    <w:rsid w:val="00A92EB0"/>
    <w:rsid w:val="00AA7E0F"/>
    <w:rsid w:val="00AC1D49"/>
    <w:rsid w:val="00AC755B"/>
    <w:rsid w:val="00AD1F6B"/>
    <w:rsid w:val="00AF2E17"/>
    <w:rsid w:val="00B00D3E"/>
    <w:rsid w:val="00B0328A"/>
    <w:rsid w:val="00B14017"/>
    <w:rsid w:val="00B25895"/>
    <w:rsid w:val="00B3490A"/>
    <w:rsid w:val="00B45B68"/>
    <w:rsid w:val="00B468AB"/>
    <w:rsid w:val="00B47698"/>
    <w:rsid w:val="00B5344C"/>
    <w:rsid w:val="00B73359"/>
    <w:rsid w:val="00B80B79"/>
    <w:rsid w:val="00B84603"/>
    <w:rsid w:val="00B96FF7"/>
    <w:rsid w:val="00B971DB"/>
    <w:rsid w:val="00BA1E50"/>
    <w:rsid w:val="00BA6D47"/>
    <w:rsid w:val="00BA7323"/>
    <w:rsid w:val="00BB1E48"/>
    <w:rsid w:val="00BC4723"/>
    <w:rsid w:val="00BC685D"/>
    <w:rsid w:val="00BE04A5"/>
    <w:rsid w:val="00BE4EE7"/>
    <w:rsid w:val="00BF3134"/>
    <w:rsid w:val="00BF315C"/>
    <w:rsid w:val="00BF5BC6"/>
    <w:rsid w:val="00C0423B"/>
    <w:rsid w:val="00C14705"/>
    <w:rsid w:val="00C361B8"/>
    <w:rsid w:val="00C43B82"/>
    <w:rsid w:val="00C45FC7"/>
    <w:rsid w:val="00C5387E"/>
    <w:rsid w:val="00C54726"/>
    <w:rsid w:val="00C64F36"/>
    <w:rsid w:val="00C67FEA"/>
    <w:rsid w:val="00C73151"/>
    <w:rsid w:val="00C731A5"/>
    <w:rsid w:val="00C73A04"/>
    <w:rsid w:val="00C75319"/>
    <w:rsid w:val="00C87EB3"/>
    <w:rsid w:val="00C919D0"/>
    <w:rsid w:val="00CA5A29"/>
    <w:rsid w:val="00CB3ABD"/>
    <w:rsid w:val="00CD24D0"/>
    <w:rsid w:val="00CE28A7"/>
    <w:rsid w:val="00CE471B"/>
    <w:rsid w:val="00CF04EE"/>
    <w:rsid w:val="00CF3C2D"/>
    <w:rsid w:val="00D0456E"/>
    <w:rsid w:val="00D07414"/>
    <w:rsid w:val="00D07CB8"/>
    <w:rsid w:val="00D21DB0"/>
    <w:rsid w:val="00D5576C"/>
    <w:rsid w:val="00D57AB7"/>
    <w:rsid w:val="00D62195"/>
    <w:rsid w:val="00D6595E"/>
    <w:rsid w:val="00D7440B"/>
    <w:rsid w:val="00D7517B"/>
    <w:rsid w:val="00D757A8"/>
    <w:rsid w:val="00D90BF0"/>
    <w:rsid w:val="00D92DBB"/>
    <w:rsid w:val="00DA2E37"/>
    <w:rsid w:val="00DA7655"/>
    <w:rsid w:val="00DC1F6B"/>
    <w:rsid w:val="00DD7FD5"/>
    <w:rsid w:val="00DE09D7"/>
    <w:rsid w:val="00DE474D"/>
    <w:rsid w:val="00DE4FF6"/>
    <w:rsid w:val="00DE6CBC"/>
    <w:rsid w:val="00DF323F"/>
    <w:rsid w:val="00DF3951"/>
    <w:rsid w:val="00DF3BC7"/>
    <w:rsid w:val="00DF46C5"/>
    <w:rsid w:val="00E175D8"/>
    <w:rsid w:val="00E40055"/>
    <w:rsid w:val="00E462DE"/>
    <w:rsid w:val="00E500E8"/>
    <w:rsid w:val="00E57B04"/>
    <w:rsid w:val="00E65A35"/>
    <w:rsid w:val="00E677BF"/>
    <w:rsid w:val="00E72653"/>
    <w:rsid w:val="00E75316"/>
    <w:rsid w:val="00E7573F"/>
    <w:rsid w:val="00E7773F"/>
    <w:rsid w:val="00E81AB7"/>
    <w:rsid w:val="00E82F7C"/>
    <w:rsid w:val="00E9169C"/>
    <w:rsid w:val="00E96268"/>
    <w:rsid w:val="00EA2A72"/>
    <w:rsid w:val="00EA2CA4"/>
    <w:rsid w:val="00EA57C6"/>
    <w:rsid w:val="00EA5AAC"/>
    <w:rsid w:val="00EA756E"/>
    <w:rsid w:val="00EB4F8E"/>
    <w:rsid w:val="00EB5F23"/>
    <w:rsid w:val="00ED2E31"/>
    <w:rsid w:val="00ED6EF2"/>
    <w:rsid w:val="00EE1659"/>
    <w:rsid w:val="00F00026"/>
    <w:rsid w:val="00F27423"/>
    <w:rsid w:val="00F55B02"/>
    <w:rsid w:val="00F55FFC"/>
    <w:rsid w:val="00F66CDE"/>
    <w:rsid w:val="00F673A9"/>
    <w:rsid w:val="00F73F8F"/>
    <w:rsid w:val="00F75E85"/>
    <w:rsid w:val="00F844A9"/>
    <w:rsid w:val="00FA097B"/>
    <w:rsid w:val="00FA55AD"/>
    <w:rsid w:val="00FC0949"/>
    <w:rsid w:val="00FD36C0"/>
    <w:rsid w:val="00FF4C92"/>
    <w:rsid w:val="00FF4D01"/>
    <w:rsid w:val="00FF7AB5"/>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64BAB5"/>
  <w15:docId w15:val="{1EF28EC4-B912-9E4F-8823-741BE6D3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4D0"/>
    <w:pPr>
      <w:spacing w:after="0" w:line="240" w:lineRule="auto"/>
      <w:jc w:val="both"/>
    </w:pPr>
    <w:rPr>
      <w:rFonts w:ascii="Verdana" w:eastAsia="Times New Roman" w:hAnsi="Verdana" w:cs="Times New Roman"/>
      <w:sz w:val="20"/>
      <w:szCs w:val="20"/>
      <w:lang w:val="en-GB" w:eastAsia="el-GR"/>
    </w:rPr>
  </w:style>
  <w:style w:type="paragraph" w:styleId="Heading4">
    <w:name w:val="heading 4"/>
    <w:basedOn w:val="Normal"/>
    <w:next w:val="Normal"/>
    <w:link w:val="Heading4Char"/>
    <w:qFormat/>
    <w:rsid w:val="00B0328A"/>
    <w:pPr>
      <w:keepNext/>
      <w:outlineLvl w:val="3"/>
    </w:pPr>
    <w:rPr>
      <w:rFonts w:ascii="Bookman Old Style" w:hAnsi="Bookman Old Style"/>
      <w:b/>
      <w:sz w:val="2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1739"/>
    <w:pPr>
      <w:tabs>
        <w:tab w:val="center" w:pos="4153"/>
        <w:tab w:val="right" w:pos="8306"/>
      </w:tabs>
    </w:pPr>
  </w:style>
  <w:style w:type="character" w:customStyle="1" w:styleId="FooterChar">
    <w:name w:val="Footer Char"/>
    <w:basedOn w:val="DefaultParagraphFont"/>
    <w:link w:val="Footer"/>
    <w:uiPriority w:val="99"/>
    <w:rsid w:val="005F1739"/>
    <w:rPr>
      <w:rFonts w:ascii="Times New Roman" w:eastAsia="Times New Roman" w:hAnsi="Times New Roman" w:cs="Times New Roman"/>
      <w:sz w:val="20"/>
      <w:szCs w:val="20"/>
      <w:lang w:val="en-GB" w:eastAsia="el-GR"/>
    </w:rPr>
  </w:style>
  <w:style w:type="character" w:styleId="Hyperlink">
    <w:name w:val="Hyperlink"/>
    <w:rsid w:val="005F1739"/>
    <w:rPr>
      <w:color w:val="0000FF"/>
      <w:u w:val="single"/>
    </w:rPr>
  </w:style>
  <w:style w:type="paragraph" w:styleId="BalloonText">
    <w:name w:val="Balloon Text"/>
    <w:basedOn w:val="Normal"/>
    <w:link w:val="BalloonTextChar"/>
    <w:uiPriority w:val="99"/>
    <w:semiHidden/>
    <w:unhideWhenUsed/>
    <w:rsid w:val="005F1739"/>
    <w:rPr>
      <w:rFonts w:ascii="Tahoma" w:hAnsi="Tahoma" w:cs="Tahoma"/>
      <w:sz w:val="16"/>
      <w:szCs w:val="16"/>
    </w:rPr>
  </w:style>
  <w:style w:type="character" w:customStyle="1" w:styleId="BalloonTextChar">
    <w:name w:val="Balloon Text Char"/>
    <w:basedOn w:val="DefaultParagraphFont"/>
    <w:link w:val="BalloonText"/>
    <w:uiPriority w:val="99"/>
    <w:semiHidden/>
    <w:rsid w:val="005F1739"/>
    <w:rPr>
      <w:rFonts w:ascii="Tahoma" w:eastAsia="Times New Roman" w:hAnsi="Tahoma" w:cs="Tahoma"/>
      <w:sz w:val="16"/>
      <w:szCs w:val="16"/>
      <w:lang w:val="en-GB" w:eastAsia="el-GR"/>
    </w:rPr>
  </w:style>
  <w:style w:type="paragraph" w:styleId="ListParagraph">
    <w:name w:val="List Paragraph"/>
    <w:basedOn w:val="Normal"/>
    <w:uiPriority w:val="34"/>
    <w:qFormat/>
    <w:rsid w:val="001B1E72"/>
    <w:pPr>
      <w:ind w:left="720"/>
      <w:contextualSpacing/>
    </w:pPr>
  </w:style>
  <w:style w:type="paragraph" w:styleId="BodyTextIndent">
    <w:name w:val="Body Text Indent"/>
    <w:basedOn w:val="Normal"/>
    <w:link w:val="BodyTextIndentChar"/>
    <w:rsid w:val="001B1E72"/>
    <w:pPr>
      <w:spacing w:after="120"/>
      <w:ind w:left="283"/>
    </w:pPr>
  </w:style>
  <w:style w:type="character" w:customStyle="1" w:styleId="BodyTextIndentChar">
    <w:name w:val="Body Text Indent Char"/>
    <w:basedOn w:val="DefaultParagraphFont"/>
    <w:link w:val="BodyTextIndent"/>
    <w:rsid w:val="001B1E72"/>
    <w:rPr>
      <w:rFonts w:ascii="Times New Roman" w:eastAsia="Times New Roman" w:hAnsi="Times New Roman" w:cs="Times New Roman"/>
      <w:sz w:val="20"/>
      <w:szCs w:val="20"/>
      <w:lang w:val="en-GB" w:eastAsia="el-GR"/>
    </w:rPr>
  </w:style>
  <w:style w:type="paragraph" w:customStyle="1" w:styleId="ecxmsonormal">
    <w:name w:val="ecxmsonormal"/>
    <w:basedOn w:val="Normal"/>
    <w:rsid w:val="00901B37"/>
    <w:pPr>
      <w:spacing w:after="324"/>
    </w:pPr>
    <w:rPr>
      <w:sz w:val="24"/>
      <w:szCs w:val="24"/>
      <w:lang w:val="el-GR"/>
    </w:rPr>
  </w:style>
  <w:style w:type="paragraph" w:styleId="Header">
    <w:name w:val="header"/>
    <w:basedOn w:val="Normal"/>
    <w:link w:val="HeaderChar"/>
    <w:uiPriority w:val="99"/>
    <w:unhideWhenUsed/>
    <w:rsid w:val="00B14017"/>
    <w:pPr>
      <w:tabs>
        <w:tab w:val="center" w:pos="4153"/>
        <w:tab w:val="right" w:pos="8306"/>
      </w:tabs>
    </w:pPr>
  </w:style>
  <w:style w:type="character" w:customStyle="1" w:styleId="HeaderChar">
    <w:name w:val="Header Char"/>
    <w:basedOn w:val="DefaultParagraphFont"/>
    <w:link w:val="Header"/>
    <w:uiPriority w:val="99"/>
    <w:rsid w:val="00B14017"/>
    <w:rPr>
      <w:rFonts w:ascii="Times New Roman" w:eastAsia="Times New Roman" w:hAnsi="Times New Roman" w:cs="Times New Roman"/>
      <w:sz w:val="20"/>
      <w:szCs w:val="20"/>
      <w:lang w:val="en-GB" w:eastAsia="el-GR"/>
    </w:rPr>
  </w:style>
  <w:style w:type="paragraph" w:customStyle="1" w:styleId="ecxmsolistparagraph">
    <w:name w:val="ecxmsolistparagraph"/>
    <w:basedOn w:val="Normal"/>
    <w:rsid w:val="005C2E45"/>
    <w:pPr>
      <w:spacing w:after="324"/>
    </w:pPr>
    <w:rPr>
      <w:sz w:val="24"/>
      <w:szCs w:val="24"/>
      <w:lang w:val="el-GR"/>
    </w:rPr>
  </w:style>
  <w:style w:type="paragraph" w:styleId="NormalWeb">
    <w:name w:val="Normal (Web)"/>
    <w:basedOn w:val="Normal"/>
    <w:uiPriority w:val="99"/>
    <w:unhideWhenUsed/>
    <w:rsid w:val="00DF46C5"/>
    <w:pPr>
      <w:spacing w:before="100" w:beforeAutospacing="1" w:after="100" w:afterAutospacing="1"/>
    </w:pPr>
    <w:rPr>
      <w:sz w:val="24"/>
      <w:szCs w:val="24"/>
      <w:lang w:val="en-US" w:eastAsia="en-US"/>
    </w:rPr>
  </w:style>
  <w:style w:type="paragraph" w:customStyle="1" w:styleId="CharChar">
    <w:name w:val="Char Char"/>
    <w:basedOn w:val="Normal"/>
    <w:rsid w:val="00B971DB"/>
    <w:pPr>
      <w:spacing w:after="160" w:line="240" w:lineRule="exact"/>
    </w:pPr>
    <w:rPr>
      <w:lang w:val="en-US" w:eastAsia="en-US"/>
    </w:rPr>
  </w:style>
  <w:style w:type="character" w:customStyle="1" w:styleId="Picturecaption">
    <w:name w:val="Picture caption_"/>
    <w:basedOn w:val="DefaultParagraphFont"/>
    <w:link w:val="Picturecaption0"/>
    <w:rsid w:val="00B25895"/>
    <w:rPr>
      <w:rFonts w:ascii="Tahoma" w:eastAsia="Tahoma" w:hAnsi="Tahoma" w:cs="Tahoma"/>
      <w:spacing w:val="20"/>
      <w:sz w:val="14"/>
      <w:szCs w:val="14"/>
      <w:shd w:val="clear" w:color="auto" w:fill="FFFFFF"/>
    </w:rPr>
  </w:style>
  <w:style w:type="character" w:customStyle="1" w:styleId="Bodytext">
    <w:name w:val="Body text_"/>
    <w:basedOn w:val="DefaultParagraphFont"/>
    <w:link w:val="1"/>
    <w:rsid w:val="00B25895"/>
    <w:rPr>
      <w:rFonts w:ascii="Tahoma" w:eastAsia="Tahoma" w:hAnsi="Tahoma" w:cs="Tahoma"/>
      <w:sz w:val="20"/>
      <w:szCs w:val="20"/>
      <w:shd w:val="clear" w:color="auto" w:fill="FFFFFF"/>
    </w:rPr>
  </w:style>
  <w:style w:type="character" w:customStyle="1" w:styleId="Bodytext2">
    <w:name w:val="Body text (2)_"/>
    <w:basedOn w:val="DefaultParagraphFont"/>
    <w:rsid w:val="00B25895"/>
    <w:rPr>
      <w:rFonts w:ascii="Tahoma" w:eastAsia="Tahoma" w:hAnsi="Tahoma" w:cs="Tahoma"/>
      <w:b w:val="0"/>
      <w:bCs w:val="0"/>
      <w:i w:val="0"/>
      <w:iCs w:val="0"/>
      <w:smallCaps w:val="0"/>
      <w:strike w:val="0"/>
      <w:spacing w:val="0"/>
      <w:sz w:val="16"/>
      <w:szCs w:val="16"/>
    </w:rPr>
  </w:style>
  <w:style w:type="character" w:customStyle="1" w:styleId="Bodytext20">
    <w:name w:val="Body text (2)"/>
    <w:basedOn w:val="Bodytext2"/>
    <w:rsid w:val="00B25895"/>
    <w:rPr>
      <w:rFonts w:ascii="Tahoma" w:eastAsia="Tahoma" w:hAnsi="Tahoma" w:cs="Tahoma"/>
      <w:b w:val="0"/>
      <w:bCs w:val="0"/>
      <w:i w:val="0"/>
      <w:iCs w:val="0"/>
      <w:smallCaps w:val="0"/>
      <w:strike w:val="0"/>
      <w:spacing w:val="0"/>
      <w:sz w:val="16"/>
      <w:szCs w:val="16"/>
      <w:u w:val="single"/>
      <w:lang w:val="en-US"/>
    </w:rPr>
  </w:style>
  <w:style w:type="paragraph" w:customStyle="1" w:styleId="Picturecaption0">
    <w:name w:val="Picture caption"/>
    <w:basedOn w:val="Normal"/>
    <w:link w:val="Picturecaption"/>
    <w:rsid w:val="00B25895"/>
    <w:pPr>
      <w:shd w:val="clear" w:color="auto" w:fill="FFFFFF"/>
      <w:spacing w:line="0" w:lineRule="atLeast"/>
    </w:pPr>
    <w:rPr>
      <w:rFonts w:ascii="Tahoma" w:eastAsia="Tahoma" w:hAnsi="Tahoma" w:cs="Tahoma"/>
      <w:spacing w:val="20"/>
      <w:sz w:val="14"/>
      <w:szCs w:val="14"/>
      <w:lang w:val="el-GR" w:eastAsia="en-US"/>
    </w:rPr>
  </w:style>
  <w:style w:type="paragraph" w:customStyle="1" w:styleId="1">
    <w:name w:val="Σώμα κειμένου1"/>
    <w:basedOn w:val="Normal"/>
    <w:link w:val="Bodytext"/>
    <w:rsid w:val="00B25895"/>
    <w:pPr>
      <w:shd w:val="clear" w:color="auto" w:fill="FFFFFF"/>
      <w:spacing w:before="240" w:after="240" w:line="264" w:lineRule="exact"/>
      <w:ind w:hanging="420"/>
      <w:jc w:val="center"/>
    </w:pPr>
    <w:rPr>
      <w:rFonts w:ascii="Tahoma" w:eastAsia="Tahoma" w:hAnsi="Tahoma" w:cs="Tahoma"/>
      <w:lang w:val="el-GR" w:eastAsia="en-US"/>
    </w:rPr>
  </w:style>
  <w:style w:type="character" w:customStyle="1" w:styleId="Heading4Char">
    <w:name w:val="Heading 4 Char"/>
    <w:basedOn w:val="DefaultParagraphFont"/>
    <w:link w:val="Heading4"/>
    <w:rsid w:val="00B0328A"/>
    <w:rPr>
      <w:rFonts w:ascii="Bookman Old Style" w:eastAsia="Times New Roman" w:hAnsi="Bookman Old Style" w:cs="Times New Roman"/>
      <w:b/>
      <w:szCs w:val="20"/>
      <w:lang w:eastAsia="el-GR"/>
    </w:rPr>
  </w:style>
  <w:style w:type="paragraph" w:styleId="BodyText3">
    <w:name w:val="Body Text 3"/>
    <w:basedOn w:val="Normal"/>
    <w:link w:val="BodyText3Char"/>
    <w:rsid w:val="00126D4E"/>
    <w:pPr>
      <w:spacing w:after="120"/>
    </w:pPr>
    <w:rPr>
      <w:sz w:val="16"/>
      <w:szCs w:val="16"/>
    </w:rPr>
  </w:style>
  <w:style w:type="character" w:customStyle="1" w:styleId="BodyText3Char">
    <w:name w:val="Body Text 3 Char"/>
    <w:basedOn w:val="DefaultParagraphFont"/>
    <w:link w:val="BodyText3"/>
    <w:rsid w:val="00126D4E"/>
    <w:rPr>
      <w:rFonts w:ascii="Times New Roman" w:eastAsia="Times New Roman" w:hAnsi="Times New Roman" w:cs="Times New Roman"/>
      <w:sz w:val="16"/>
      <w:szCs w:val="16"/>
      <w:lang w:val="en-GB" w:eastAsia="el-GR"/>
    </w:rPr>
  </w:style>
  <w:style w:type="paragraph" w:styleId="BodyText0">
    <w:name w:val="Body Text"/>
    <w:basedOn w:val="Normal"/>
    <w:link w:val="BodyTextChar"/>
    <w:rsid w:val="00126D4E"/>
    <w:pPr>
      <w:spacing w:after="120"/>
    </w:pPr>
  </w:style>
  <w:style w:type="character" w:customStyle="1" w:styleId="BodyTextChar">
    <w:name w:val="Body Text Char"/>
    <w:basedOn w:val="DefaultParagraphFont"/>
    <w:link w:val="BodyText0"/>
    <w:rsid w:val="00126D4E"/>
    <w:rPr>
      <w:rFonts w:ascii="Times New Roman" w:eastAsia="Times New Roman" w:hAnsi="Times New Roman" w:cs="Times New Roman"/>
      <w:sz w:val="20"/>
      <w:szCs w:val="20"/>
      <w:lang w:val="en-GB" w:eastAsia="el-GR"/>
    </w:rPr>
  </w:style>
  <w:style w:type="paragraph" w:customStyle="1" w:styleId="SubjectLine">
    <w:name w:val="Subject Line"/>
    <w:basedOn w:val="BodyText0"/>
    <w:next w:val="BodyText0"/>
    <w:rsid w:val="00126D4E"/>
    <w:rPr>
      <w:rFonts w:ascii="Arial" w:hAnsi="Arial"/>
      <w:b/>
      <w:i/>
      <w:sz w:val="22"/>
      <w:lang w:val="en-US"/>
    </w:rPr>
  </w:style>
  <w:style w:type="character" w:styleId="Strong">
    <w:name w:val="Strong"/>
    <w:qFormat/>
    <w:rsid w:val="00126D4E"/>
    <w:rPr>
      <w:b/>
    </w:rPr>
  </w:style>
  <w:style w:type="paragraph" w:styleId="Title">
    <w:name w:val="Title"/>
    <w:basedOn w:val="Normal"/>
    <w:link w:val="TitleChar"/>
    <w:qFormat/>
    <w:rsid w:val="00405989"/>
    <w:pPr>
      <w:jc w:val="center"/>
    </w:pPr>
    <w:rPr>
      <w:rFonts w:ascii="Bookman Old Style" w:hAnsi="Bookman Old Style"/>
      <w:b/>
      <w:sz w:val="22"/>
      <w:u w:val="single"/>
      <w:lang w:val="en-US"/>
    </w:rPr>
  </w:style>
  <w:style w:type="character" w:customStyle="1" w:styleId="TitleChar">
    <w:name w:val="Title Char"/>
    <w:basedOn w:val="DefaultParagraphFont"/>
    <w:link w:val="Title"/>
    <w:rsid w:val="00405989"/>
    <w:rPr>
      <w:rFonts w:ascii="Bookman Old Style" w:eastAsia="Times New Roman" w:hAnsi="Bookman Old Style" w:cs="Times New Roman"/>
      <w:b/>
      <w:szCs w:val="20"/>
      <w:u w:val="single"/>
      <w:lang w:val="en-US" w:eastAsia="el-GR"/>
    </w:rPr>
  </w:style>
  <w:style w:type="paragraph" w:styleId="FootnoteText">
    <w:name w:val="footnote text"/>
    <w:basedOn w:val="Normal"/>
    <w:link w:val="FootnoteTextChar"/>
    <w:uiPriority w:val="99"/>
    <w:semiHidden/>
    <w:unhideWhenUsed/>
    <w:rsid w:val="00080985"/>
  </w:style>
  <w:style w:type="character" w:customStyle="1" w:styleId="FootnoteTextChar">
    <w:name w:val="Footnote Text Char"/>
    <w:basedOn w:val="DefaultParagraphFont"/>
    <w:link w:val="FootnoteText"/>
    <w:uiPriority w:val="99"/>
    <w:semiHidden/>
    <w:rsid w:val="00080985"/>
    <w:rPr>
      <w:rFonts w:ascii="Times New Roman" w:eastAsia="Times New Roman" w:hAnsi="Times New Roman" w:cs="Times New Roman"/>
      <w:sz w:val="20"/>
      <w:szCs w:val="20"/>
      <w:lang w:val="en-GB" w:eastAsia="el-GR"/>
    </w:rPr>
  </w:style>
  <w:style w:type="character" w:styleId="FootnoteReference">
    <w:name w:val="footnote reference"/>
    <w:basedOn w:val="DefaultParagraphFont"/>
    <w:uiPriority w:val="99"/>
    <w:semiHidden/>
    <w:unhideWhenUsed/>
    <w:rsid w:val="00080985"/>
    <w:rPr>
      <w:vertAlign w:val="superscript"/>
    </w:rPr>
  </w:style>
  <w:style w:type="table" w:styleId="TableGrid">
    <w:name w:val="Table Grid"/>
    <w:basedOn w:val="TableNormal"/>
    <w:rsid w:val="00BF315C"/>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361B8"/>
    <w:pPr>
      <w:spacing w:after="0" w:line="240" w:lineRule="auto"/>
    </w:pPr>
    <w:rPr>
      <w:rFonts w:ascii="Times New Roman" w:eastAsia="Times New Roman" w:hAnsi="Times New Roman" w:cs="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maintext">
    <w:name w:val="main text"/>
    <w:basedOn w:val="Normal"/>
    <w:link w:val="maintextChar"/>
    <w:qFormat/>
    <w:rsid w:val="004D29A3"/>
    <w:pPr>
      <w:autoSpaceDE w:val="0"/>
      <w:autoSpaceDN w:val="0"/>
      <w:adjustRightInd w:val="0"/>
      <w:spacing w:after="170" w:line="300" w:lineRule="atLeast"/>
      <w:textAlignment w:val="center"/>
    </w:pPr>
    <w:rPr>
      <w:rFonts w:ascii="Calibri" w:eastAsiaTheme="minorHAnsi" w:hAnsi="Calibri" w:cs="Calibri"/>
      <w:color w:val="000000"/>
      <w:sz w:val="21"/>
      <w:szCs w:val="21"/>
      <w:lang w:val="el-GR" w:eastAsia="en-US"/>
    </w:rPr>
  </w:style>
  <w:style w:type="character" w:customStyle="1" w:styleId="maintextChar">
    <w:name w:val="main text Char"/>
    <w:basedOn w:val="DefaultParagraphFont"/>
    <w:link w:val="maintext"/>
    <w:rsid w:val="004D29A3"/>
    <w:rPr>
      <w:rFonts w:ascii="Calibri" w:hAnsi="Calibri" w:cs="Calibri"/>
      <w:color w:val="000000"/>
      <w:sz w:val="21"/>
      <w:szCs w:val="21"/>
    </w:rPr>
  </w:style>
  <w:style w:type="paragraph" w:customStyle="1" w:styleId="charttitle">
    <w:name w:val="chart title"/>
    <w:basedOn w:val="Normal"/>
    <w:link w:val="charttitleChar"/>
    <w:uiPriority w:val="99"/>
    <w:rsid w:val="00CE471B"/>
    <w:pPr>
      <w:suppressAutoHyphens/>
      <w:autoSpaceDE w:val="0"/>
      <w:autoSpaceDN w:val="0"/>
      <w:adjustRightInd w:val="0"/>
      <w:spacing w:line="300" w:lineRule="atLeast"/>
      <w:jc w:val="left"/>
      <w:textAlignment w:val="center"/>
    </w:pPr>
    <w:rPr>
      <w:rFonts w:ascii="Calibri" w:eastAsiaTheme="minorHAnsi" w:hAnsi="Calibri" w:cs="Calibri"/>
      <w:caps/>
      <w:color w:val="9B9984"/>
      <w:spacing w:val="-1"/>
      <w:sz w:val="22"/>
      <w:szCs w:val="22"/>
      <w:lang w:val="el-GR" w:eastAsia="en-US"/>
    </w:rPr>
  </w:style>
  <w:style w:type="character" w:customStyle="1" w:styleId="charttitleChar">
    <w:name w:val="chart title Char"/>
    <w:basedOn w:val="DefaultParagraphFont"/>
    <w:link w:val="charttitle"/>
    <w:uiPriority w:val="99"/>
    <w:rsid w:val="00CE471B"/>
    <w:rPr>
      <w:rFonts w:ascii="Calibri" w:hAnsi="Calibri" w:cs="Calibri"/>
      <w:caps/>
      <w:color w:val="9B9984"/>
      <w:spacing w:val="-1"/>
    </w:rPr>
  </w:style>
  <w:style w:type="paragraph" w:customStyle="1" w:styleId="Mpeztitles">
    <w:name w:val="Mpez titles"/>
    <w:basedOn w:val="charttitle"/>
    <w:link w:val="MpeztitlesChar"/>
    <w:qFormat/>
    <w:rsid w:val="00CE471B"/>
    <w:rPr>
      <w:b/>
    </w:rPr>
  </w:style>
  <w:style w:type="character" w:customStyle="1" w:styleId="MpeztitlesChar">
    <w:name w:val="Mpez titles Char"/>
    <w:basedOn w:val="charttitleChar"/>
    <w:link w:val="Mpeztitles"/>
    <w:rsid w:val="00CE471B"/>
    <w:rPr>
      <w:rFonts w:ascii="Calibri" w:hAnsi="Calibri" w:cs="Calibri"/>
      <w:b/>
      <w:caps/>
      <w:color w:val="9B9984"/>
      <w:spacing w:val="-1"/>
    </w:rPr>
  </w:style>
  <w:style w:type="paragraph" w:customStyle="1" w:styleId="BasicParagraph">
    <w:name w:val="[Basic Paragraph]"/>
    <w:basedOn w:val="Normal"/>
    <w:link w:val="BasicParagraphChar"/>
    <w:uiPriority w:val="99"/>
    <w:rsid w:val="00FF7AB5"/>
    <w:pPr>
      <w:autoSpaceDE w:val="0"/>
      <w:autoSpaceDN w:val="0"/>
      <w:adjustRightInd w:val="0"/>
      <w:spacing w:line="288" w:lineRule="auto"/>
      <w:jc w:val="left"/>
      <w:textAlignment w:val="center"/>
    </w:pPr>
    <w:rPr>
      <w:rFonts w:ascii="Minion Pro" w:eastAsiaTheme="minorHAnsi" w:hAnsi="Minion Pro" w:cs="Minion Pro"/>
      <w:color w:val="000000"/>
      <w:sz w:val="24"/>
      <w:szCs w:val="24"/>
      <w:lang w:val="en-US" w:eastAsia="en-US"/>
    </w:rPr>
  </w:style>
  <w:style w:type="character" w:customStyle="1" w:styleId="BasicParagraphChar">
    <w:name w:val="[Basic Paragraph] Char"/>
    <w:basedOn w:val="DefaultParagraphFont"/>
    <w:link w:val="BasicParagraph"/>
    <w:uiPriority w:val="99"/>
    <w:rsid w:val="00FF7AB5"/>
    <w:rPr>
      <w:rFonts w:ascii="Minion Pro" w:hAnsi="Minion Pro" w:cs="Minion Pro"/>
      <w:color w:val="000000"/>
      <w:sz w:val="24"/>
      <w:szCs w:val="24"/>
      <w:lang w:val="en-US"/>
    </w:rPr>
  </w:style>
  <w:style w:type="paragraph" w:customStyle="1" w:styleId="anasxetikosmpez">
    <w:name w:val="anasxetikos mpez"/>
    <w:basedOn w:val="BasicParagraph"/>
    <w:link w:val="anasxetikosmpezChar"/>
    <w:qFormat/>
    <w:rsid w:val="00FF7AB5"/>
    <w:rPr>
      <w:rFonts w:ascii="Calibri" w:hAnsi="Calibri" w:cs="Calibri"/>
      <w:b/>
      <w:bCs/>
      <w:caps/>
      <w:color w:val="9B9984"/>
      <w:sz w:val="18"/>
      <w:szCs w:val="18"/>
    </w:rPr>
  </w:style>
  <w:style w:type="character" w:customStyle="1" w:styleId="anasxetikosmpezChar">
    <w:name w:val="anasxetikos mpez Char"/>
    <w:basedOn w:val="BasicParagraphChar"/>
    <w:link w:val="anasxetikosmpez"/>
    <w:rsid w:val="00FF7AB5"/>
    <w:rPr>
      <w:rFonts w:ascii="Calibri" w:hAnsi="Calibri" w:cs="Calibri"/>
      <w:b/>
      <w:bCs/>
      <w:caps/>
      <w:color w:val="9B9984"/>
      <w:sz w:val="18"/>
      <w:szCs w:val="18"/>
      <w:lang w:val="en-US"/>
    </w:rPr>
  </w:style>
  <w:style w:type="paragraph" w:customStyle="1" w:styleId="Bluetitles">
    <w:name w:val="Blue titles"/>
    <w:basedOn w:val="Normal"/>
    <w:link w:val="BluetitlesChar"/>
    <w:qFormat/>
    <w:rsid w:val="00314333"/>
    <w:pPr>
      <w:suppressAutoHyphens/>
      <w:autoSpaceDE w:val="0"/>
      <w:autoSpaceDN w:val="0"/>
      <w:adjustRightInd w:val="0"/>
      <w:spacing w:before="340" w:after="227" w:line="300" w:lineRule="atLeast"/>
      <w:ind w:left="510" w:hanging="510"/>
      <w:jc w:val="left"/>
      <w:textAlignment w:val="center"/>
    </w:pPr>
    <w:rPr>
      <w:rFonts w:ascii="Calibri" w:eastAsiaTheme="minorHAnsi" w:hAnsi="Calibri" w:cs="Calibri"/>
      <w:b/>
      <w:bCs/>
      <w:caps/>
      <w:color w:val="0076BD"/>
      <w:spacing w:val="-1"/>
      <w:sz w:val="27"/>
      <w:szCs w:val="27"/>
      <w:lang w:val="el-GR" w:eastAsia="en-US"/>
    </w:rPr>
  </w:style>
  <w:style w:type="character" w:customStyle="1" w:styleId="BluetitlesChar">
    <w:name w:val="Blue titles Char"/>
    <w:basedOn w:val="DefaultParagraphFont"/>
    <w:link w:val="Bluetitles"/>
    <w:rsid w:val="00314333"/>
    <w:rPr>
      <w:rFonts w:ascii="Calibri" w:hAnsi="Calibri" w:cs="Calibri"/>
      <w:b/>
      <w:bCs/>
      <w:caps/>
      <w:color w:val="0076BD"/>
      <w:spacing w:val="-1"/>
      <w:sz w:val="27"/>
      <w:szCs w:val="27"/>
    </w:rPr>
  </w:style>
  <w:style w:type="table" w:styleId="LightShading-Accent5">
    <w:name w:val="Light Shading Accent 5"/>
    <w:basedOn w:val="TableNormal"/>
    <w:uiPriority w:val="60"/>
    <w:rsid w:val="0029201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30643">
      <w:bodyDiv w:val="1"/>
      <w:marLeft w:val="0"/>
      <w:marRight w:val="0"/>
      <w:marTop w:val="0"/>
      <w:marBottom w:val="0"/>
      <w:divBdr>
        <w:top w:val="none" w:sz="0" w:space="0" w:color="auto"/>
        <w:left w:val="none" w:sz="0" w:space="0" w:color="auto"/>
        <w:bottom w:val="none" w:sz="0" w:space="0" w:color="auto"/>
        <w:right w:val="none" w:sz="0" w:space="0" w:color="auto"/>
      </w:divBdr>
    </w:div>
    <w:div w:id="179398896">
      <w:bodyDiv w:val="1"/>
      <w:marLeft w:val="0"/>
      <w:marRight w:val="0"/>
      <w:marTop w:val="0"/>
      <w:marBottom w:val="0"/>
      <w:divBdr>
        <w:top w:val="none" w:sz="0" w:space="0" w:color="auto"/>
        <w:left w:val="none" w:sz="0" w:space="0" w:color="auto"/>
        <w:bottom w:val="none" w:sz="0" w:space="0" w:color="auto"/>
        <w:right w:val="none" w:sz="0" w:space="0" w:color="auto"/>
      </w:divBdr>
    </w:div>
    <w:div w:id="335229440">
      <w:bodyDiv w:val="1"/>
      <w:marLeft w:val="0"/>
      <w:marRight w:val="0"/>
      <w:marTop w:val="0"/>
      <w:marBottom w:val="0"/>
      <w:divBdr>
        <w:top w:val="none" w:sz="0" w:space="0" w:color="auto"/>
        <w:left w:val="none" w:sz="0" w:space="0" w:color="auto"/>
        <w:bottom w:val="none" w:sz="0" w:space="0" w:color="auto"/>
        <w:right w:val="none" w:sz="0" w:space="0" w:color="auto"/>
      </w:divBdr>
      <w:divsChild>
        <w:div w:id="760639696">
          <w:marLeft w:val="0"/>
          <w:marRight w:val="0"/>
          <w:marTop w:val="0"/>
          <w:marBottom w:val="0"/>
          <w:divBdr>
            <w:top w:val="none" w:sz="0" w:space="0" w:color="auto"/>
            <w:left w:val="none" w:sz="0" w:space="0" w:color="auto"/>
            <w:bottom w:val="none" w:sz="0" w:space="0" w:color="auto"/>
            <w:right w:val="none" w:sz="0" w:space="0" w:color="auto"/>
          </w:divBdr>
          <w:divsChild>
            <w:div w:id="1759716102">
              <w:marLeft w:val="0"/>
              <w:marRight w:val="0"/>
              <w:marTop w:val="0"/>
              <w:marBottom w:val="0"/>
              <w:divBdr>
                <w:top w:val="none" w:sz="0" w:space="0" w:color="auto"/>
                <w:left w:val="none" w:sz="0" w:space="0" w:color="auto"/>
                <w:bottom w:val="none" w:sz="0" w:space="0" w:color="auto"/>
                <w:right w:val="none" w:sz="0" w:space="0" w:color="auto"/>
              </w:divBdr>
              <w:divsChild>
                <w:div w:id="164126179">
                  <w:marLeft w:val="0"/>
                  <w:marRight w:val="0"/>
                  <w:marTop w:val="0"/>
                  <w:marBottom w:val="0"/>
                  <w:divBdr>
                    <w:top w:val="none" w:sz="0" w:space="0" w:color="auto"/>
                    <w:left w:val="none" w:sz="0" w:space="0" w:color="auto"/>
                    <w:bottom w:val="none" w:sz="0" w:space="0" w:color="auto"/>
                    <w:right w:val="none" w:sz="0" w:space="0" w:color="auto"/>
                  </w:divBdr>
                  <w:divsChild>
                    <w:div w:id="2013988377">
                      <w:marLeft w:val="0"/>
                      <w:marRight w:val="0"/>
                      <w:marTop w:val="0"/>
                      <w:marBottom w:val="0"/>
                      <w:divBdr>
                        <w:top w:val="none" w:sz="0" w:space="0" w:color="auto"/>
                        <w:left w:val="none" w:sz="0" w:space="0" w:color="auto"/>
                        <w:bottom w:val="none" w:sz="0" w:space="0" w:color="auto"/>
                        <w:right w:val="none" w:sz="0" w:space="0" w:color="auto"/>
                      </w:divBdr>
                      <w:divsChild>
                        <w:div w:id="727804742">
                          <w:marLeft w:val="0"/>
                          <w:marRight w:val="0"/>
                          <w:marTop w:val="0"/>
                          <w:marBottom w:val="0"/>
                          <w:divBdr>
                            <w:top w:val="none" w:sz="0" w:space="0" w:color="auto"/>
                            <w:left w:val="none" w:sz="0" w:space="0" w:color="auto"/>
                            <w:bottom w:val="none" w:sz="0" w:space="0" w:color="auto"/>
                            <w:right w:val="none" w:sz="0" w:space="0" w:color="auto"/>
                          </w:divBdr>
                          <w:divsChild>
                            <w:div w:id="1981499525">
                              <w:marLeft w:val="0"/>
                              <w:marRight w:val="0"/>
                              <w:marTop w:val="0"/>
                              <w:marBottom w:val="0"/>
                              <w:divBdr>
                                <w:top w:val="none" w:sz="0" w:space="0" w:color="auto"/>
                                <w:left w:val="none" w:sz="0" w:space="0" w:color="auto"/>
                                <w:bottom w:val="none" w:sz="0" w:space="0" w:color="auto"/>
                                <w:right w:val="none" w:sz="0" w:space="0" w:color="auto"/>
                              </w:divBdr>
                              <w:divsChild>
                                <w:div w:id="1196044658">
                                  <w:marLeft w:val="0"/>
                                  <w:marRight w:val="0"/>
                                  <w:marTop w:val="0"/>
                                  <w:marBottom w:val="0"/>
                                  <w:divBdr>
                                    <w:top w:val="none" w:sz="0" w:space="0" w:color="auto"/>
                                    <w:left w:val="none" w:sz="0" w:space="0" w:color="auto"/>
                                    <w:bottom w:val="none" w:sz="0" w:space="0" w:color="auto"/>
                                    <w:right w:val="none" w:sz="0" w:space="0" w:color="auto"/>
                                  </w:divBdr>
                                  <w:divsChild>
                                    <w:div w:id="1340498919">
                                      <w:marLeft w:val="0"/>
                                      <w:marRight w:val="0"/>
                                      <w:marTop w:val="0"/>
                                      <w:marBottom w:val="0"/>
                                      <w:divBdr>
                                        <w:top w:val="none" w:sz="0" w:space="0" w:color="auto"/>
                                        <w:left w:val="none" w:sz="0" w:space="0" w:color="auto"/>
                                        <w:bottom w:val="none" w:sz="0" w:space="0" w:color="auto"/>
                                        <w:right w:val="none" w:sz="0" w:space="0" w:color="auto"/>
                                      </w:divBdr>
                                      <w:divsChild>
                                        <w:div w:id="708989326">
                                          <w:marLeft w:val="0"/>
                                          <w:marRight w:val="0"/>
                                          <w:marTop w:val="0"/>
                                          <w:marBottom w:val="0"/>
                                          <w:divBdr>
                                            <w:top w:val="none" w:sz="0" w:space="0" w:color="auto"/>
                                            <w:left w:val="none" w:sz="0" w:space="0" w:color="auto"/>
                                            <w:bottom w:val="none" w:sz="0" w:space="0" w:color="auto"/>
                                            <w:right w:val="none" w:sz="0" w:space="0" w:color="auto"/>
                                          </w:divBdr>
                                          <w:divsChild>
                                            <w:div w:id="657072258">
                                              <w:marLeft w:val="0"/>
                                              <w:marRight w:val="0"/>
                                              <w:marTop w:val="0"/>
                                              <w:marBottom w:val="0"/>
                                              <w:divBdr>
                                                <w:top w:val="none" w:sz="0" w:space="0" w:color="auto"/>
                                                <w:left w:val="none" w:sz="0" w:space="0" w:color="auto"/>
                                                <w:bottom w:val="none" w:sz="0" w:space="0" w:color="auto"/>
                                                <w:right w:val="none" w:sz="0" w:space="0" w:color="auto"/>
                                              </w:divBdr>
                                              <w:divsChild>
                                                <w:div w:id="2067873317">
                                                  <w:marLeft w:val="0"/>
                                                  <w:marRight w:val="90"/>
                                                  <w:marTop w:val="0"/>
                                                  <w:marBottom w:val="0"/>
                                                  <w:divBdr>
                                                    <w:top w:val="none" w:sz="0" w:space="0" w:color="auto"/>
                                                    <w:left w:val="none" w:sz="0" w:space="0" w:color="auto"/>
                                                    <w:bottom w:val="none" w:sz="0" w:space="0" w:color="auto"/>
                                                    <w:right w:val="none" w:sz="0" w:space="0" w:color="auto"/>
                                                  </w:divBdr>
                                                  <w:divsChild>
                                                    <w:div w:id="1669284638">
                                                      <w:marLeft w:val="0"/>
                                                      <w:marRight w:val="0"/>
                                                      <w:marTop w:val="0"/>
                                                      <w:marBottom w:val="0"/>
                                                      <w:divBdr>
                                                        <w:top w:val="none" w:sz="0" w:space="0" w:color="auto"/>
                                                        <w:left w:val="none" w:sz="0" w:space="0" w:color="auto"/>
                                                        <w:bottom w:val="none" w:sz="0" w:space="0" w:color="auto"/>
                                                        <w:right w:val="none" w:sz="0" w:space="0" w:color="auto"/>
                                                      </w:divBdr>
                                                      <w:divsChild>
                                                        <w:div w:id="1747919877">
                                                          <w:marLeft w:val="0"/>
                                                          <w:marRight w:val="0"/>
                                                          <w:marTop w:val="0"/>
                                                          <w:marBottom w:val="0"/>
                                                          <w:divBdr>
                                                            <w:top w:val="none" w:sz="0" w:space="0" w:color="auto"/>
                                                            <w:left w:val="none" w:sz="0" w:space="0" w:color="auto"/>
                                                            <w:bottom w:val="none" w:sz="0" w:space="0" w:color="auto"/>
                                                            <w:right w:val="none" w:sz="0" w:space="0" w:color="auto"/>
                                                          </w:divBdr>
                                                          <w:divsChild>
                                                            <w:div w:id="386800174">
                                                              <w:marLeft w:val="0"/>
                                                              <w:marRight w:val="0"/>
                                                              <w:marTop w:val="0"/>
                                                              <w:marBottom w:val="0"/>
                                                              <w:divBdr>
                                                                <w:top w:val="none" w:sz="0" w:space="0" w:color="auto"/>
                                                                <w:left w:val="none" w:sz="0" w:space="0" w:color="auto"/>
                                                                <w:bottom w:val="none" w:sz="0" w:space="0" w:color="auto"/>
                                                                <w:right w:val="none" w:sz="0" w:space="0" w:color="auto"/>
                                                              </w:divBdr>
                                                              <w:divsChild>
                                                                <w:div w:id="1655571830">
                                                                  <w:marLeft w:val="0"/>
                                                                  <w:marRight w:val="0"/>
                                                                  <w:marTop w:val="0"/>
                                                                  <w:marBottom w:val="105"/>
                                                                  <w:divBdr>
                                                                    <w:top w:val="single" w:sz="6" w:space="0" w:color="EDEDED"/>
                                                                    <w:left w:val="single" w:sz="6" w:space="0" w:color="EDEDED"/>
                                                                    <w:bottom w:val="single" w:sz="6" w:space="0" w:color="EDEDED"/>
                                                                    <w:right w:val="single" w:sz="6" w:space="0" w:color="EDEDED"/>
                                                                  </w:divBdr>
                                                                  <w:divsChild>
                                                                    <w:div w:id="1183711415">
                                                                      <w:marLeft w:val="0"/>
                                                                      <w:marRight w:val="0"/>
                                                                      <w:marTop w:val="0"/>
                                                                      <w:marBottom w:val="0"/>
                                                                      <w:divBdr>
                                                                        <w:top w:val="none" w:sz="0" w:space="0" w:color="auto"/>
                                                                        <w:left w:val="none" w:sz="0" w:space="0" w:color="auto"/>
                                                                        <w:bottom w:val="none" w:sz="0" w:space="0" w:color="auto"/>
                                                                        <w:right w:val="none" w:sz="0" w:space="0" w:color="auto"/>
                                                                      </w:divBdr>
                                                                      <w:divsChild>
                                                                        <w:div w:id="623658191">
                                                                          <w:marLeft w:val="0"/>
                                                                          <w:marRight w:val="0"/>
                                                                          <w:marTop w:val="0"/>
                                                                          <w:marBottom w:val="0"/>
                                                                          <w:divBdr>
                                                                            <w:top w:val="none" w:sz="0" w:space="0" w:color="auto"/>
                                                                            <w:left w:val="none" w:sz="0" w:space="0" w:color="auto"/>
                                                                            <w:bottom w:val="none" w:sz="0" w:space="0" w:color="auto"/>
                                                                            <w:right w:val="none" w:sz="0" w:space="0" w:color="auto"/>
                                                                          </w:divBdr>
                                                                          <w:divsChild>
                                                                            <w:div w:id="1876698442">
                                                                              <w:marLeft w:val="0"/>
                                                                              <w:marRight w:val="0"/>
                                                                              <w:marTop w:val="0"/>
                                                                              <w:marBottom w:val="0"/>
                                                                              <w:divBdr>
                                                                                <w:top w:val="none" w:sz="0" w:space="0" w:color="auto"/>
                                                                                <w:left w:val="none" w:sz="0" w:space="0" w:color="auto"/>
                                                                                <w:bottom w:val="none" w:sz="0" w:space="0" w:color="auto"/>
                                                                                <w:right w:val="none" w:sz="0" w:space="0" w:color="auto"/>
                                                                              </w:divBdr>
                                                                              <w:divsChild>
                                                                                <w:div w:id="782501014">
                                                                                  <w:marLeft w:val="180"/>
                                                                                  <w:marRight w:val="180"/>
                                                                                  <w:marTop w:val="0"/>
                                                                                  <w:marBottom w:val="0"/>
                                                                                  <w:divBdr>
                                                                                    <w:top w:val="none" w:sz="0" w:space="0" w:color="auto"/>
                                                                                    <w:left w:val="none" w:sz="0" w:space="0" w:color="auto"/>
                                                                                    <w:bottom w:val="none" w:sz="0" w:space="0" w:color="auto"/>
                                                                                    <w:right w:val="none" w:sz="0" w:space="0" w:color="auto"/>
                                                                                  </w:divBdr>
                                                                                  <w:divsChild>
                                                                                    <w:div w:id="1077247840">
                                                                                      <w:marLeft w:val="0"/>
                                                                                      <w:marRight w:val="0"/>
                                                                                      <w:marTop w:val="0"/>
                                                                                      <w:marBottom w:val="0"/>
                                                                                      <w:divBdr>
                                                                                        <w:top w:val="none" w:sz="0" w:space="0" w:color="auto"/>
                                                                                        <w:left w:val="none" w:sz="0" w:space="0" w:color="auto"/>
                                                                                        <w:bottom w:val="none" w:sz="0" w:space="0" w:color="auto"/>
                                                                                        <w:right w:val="none" w:sz="0" w:space="0" w:color="auto"/>
                                                                                      </w:divBdr>
                                                                                      <w:divsChild>
                                                                                        <w:div w:id="303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708969">
      <w:bodyDiv w:val="1"/>
      <w:marLeft w:val="0"/>
      <w:marRight w:val="0"/>
      <w:marTop w:val="0"/>
      <w:marBottom w:val="0"/>
      <w:divBdr>
        <w:top w:val="none" w:sz="0" w:space="0" w:color="auto"/>
        <w:left w:val="none" w:sz="0" w:space="0" w:color="auto"/>
        <w:bottom w:val="none" w:sz="0" w:space="0" w:color="auto"/>
        <w:right w:val="none" w:sz="0" w:space="0" w:color="auto"/>
      </w:divBdr>
    </w:div>
    <w:div w:id="477456288">
      <w:bodyDiv w:val="1"/>
      <w:marLeft w:val="0"/>
      <w:marRight w:val="0"/>
      <w:marTop w:val="0"/>
      <w:marBottom w:val="0"/>
      <w:divBdr>
        <w:top w:val="none" w:sz="0" w:space="0" w:color="auto"/>
        <w:left w:val="none" w:sz="0" w:space="0" w:color="auto"/>
        <w:bottom w:val="none" w:sz="0" w:space="0" w:color="auto"/>
        <w:right w:val="none" w:sz="0" w:space="0" w:color="auto"/>
      </w:divBdr>
    </w:div>
    <w:div w:id="521893091">
      <w:bodyDiv w:val="1"/>
      <w:marLeft w:val="0"/>
      <w:marRight w:val="0"/>
      <w:marTop w:val="0"/>
      <w:marBottom w:val="0"/>
      <w:divBdr>
        <w:top w:val="none" w:sz="0" w:space="0" w:color="auto"/>
        <w:left w:val="none" w:sz="0" w:space="0" w:color="auto"/>
        <w:bottom w:val="none" w:sz="0" w:space="0" w:color="auto"/>
        <w:right w:val="none" w:sz="0" w:space="0" w:color="auto"/>
      </w:divBdr>
      <w:divsChild>
        <w:div w:id="160585188">
          <w:marLeft w:val="0"/>
          <w:marRight w:val="0"/>
          <w:marTop w:val="0"/>
          <w:marBottom w:val="0"/>
          <w:divBdr>
            <w:top w:val="none" w:sz="0" w:space="0" w:color="auto"/>
            <w:left w:val="none" w:sz="0" w:space="0" w:color="auto"/>
            <w:bottom w:val="none" w:sz="0" w:space="0" w:color="auto"/>
            <w:right w:val="none" w:sz="0" w:space="0" w:color="auto"/>
          </w:divBdr>
          <w:divsChild>
            <w:div w:id="803545314">
              <w:marLeft w:val="0"/>
              <w:marRight w:val="0"/>
              <w:marTop w:val="0"/>
              <w:marBottom w:val="0"/>
              <w:divBdr>
                <w:top w:val="none" w:sz="0" w:space="0" w:color="auto"/>
                <w:left w:val="none" w:sz="0" w:space="0" w:color="auto"/>
                <w:bottom w:val="none" w:sz="0" w:space="0" w:color="auto"/>
                <w:right w:val="none" w:sz="0" w:space="0" w:color="auto"/>
              </w:divBdr>
              <w:divsChild>
                <w:div w:id="1421414756">
                  <w:marLeft w:val="0"/>
                  <w:marRight w:val="0"/>
                  <w:marTop w:val="0"/>
                  <w:marBottom w:val="0"/>
                  <w:divBdr>
                    <w:top w:val="none" w:sz="0" w:space="0" w:color="auto"/>
                    <w:left w:val="none" w:sz="0" w:space="0" w:color="auto"/>
                    <w:bottom w:val="none" w:sz="0" w:space="0" w:color="auto"/>
                    <w:right w:val="none" w:sz="0" w:space="0" w:color="auto"/>
                  </w:divBdr>
                  <w:divsChild>
                    <w:div w:id="834876021">
                      <w:marLeft w:val="0"/>
                      <w:marRight w:val="0"/>
                      <w:marTop w:val="0"/>
                      <w:marBottom w:val="0"/>
                      <w:divBdr>
                        <w:top w:val="none" w:sz="0" w:space="0" w:color="auto"/>
                        <w:left w:val="none" w:sz="0" w:space="0" w:color="auto"/>
                        <w:bottom w:val="none" w:sz="0" w:space="0" w:color="auto"/>
                        <w:right w:val="none" w:sz="0" w:space="0" w:color="auto"/>
                      </w:divBdr>
                      <w:divsChild>
                        <w:div w:id="1077048169">
                          <w:marLeft w:val="0"/>
                          <w:marRight w:val="0"/>
                          <w:marTop w:val="0"/>
                          <w:marBottom w:val="0"/>
                          <w:divBdr>
                            <w:top w:val="none" w:sz="0" w:space="0" w:color="auto"/>
                            <w:left w:val="none" w:sz="0" w:space="0" w:color="auto"/>
                            <w:bottom w:val="none" w:sz="0" w:space="0" w:color="auto"/>
                            <w:right w:val="none" w:sz="0" w:space="0" w:color="auto"/>
                          </w:divBdr>
                          <w:divsChild>
                            <w:div w:id="1440487017">
                              <w:marLeft w:val="0"/>
                              <w:marRight w:val="0"/>
                              <w:marTop w:val="0"/>
                              <w:marBottom w:val="0"/>
                              <w:divBdr>
                                <w:top w:val="none" w:sz="0" w:space="0" w:color="auto"/>
                                <w:left w:val="none" w:sz="0" w:space="0" w:color="auto"/>
                                <w:bottom w:val="none" w:sz="0" w:space="0" w:color="auto"/>
                                <w:right w:val="none" w:sz="0" w:space="0" w:color="auto"/>
                              </w:divBdr>
                              <w:divsChild>
                                <w:div w:id="28073099">
                                  <w:marLeft w:val="0"/>
                                  <w:marRight w:val="0"/>
                                  <w:marTop w:val="0"/>
                                  <w:marBottom w:val="0"/>
                                  <w:divBdr>
                                    <w:top w:val="none" w:sz="0" w:space="0" w:color="auto"/>
                                    <w:left w:val="none" w:sz="0" w:space="0" w:color="auto"/>
                                    <w:bottom w:val="none" w:sz="0" w:space="0" w:color="auto"/>
                                    <w:right w:val="none" w:sz="0" w:space="0" w:color="auto"/>
                                  </w:divBdr>
                                  <w:divsChild>
                                    <w:div w:id="1558860092">
                                      <w:marLeft w:val="0"/>
                                      <w:marRight w:val="0"/>
                                      <w:marTop w:val="0"/>
                                      <w:marBottom w:val="0"/>
                                      <w:divBdr>
                                        <w:top w:val="none" w:sz="0" w:space="0" w:color="auto"/>
                                        <w:left w:val="none" w:sz="0" w:space="0" w:color="auto"/>
                                        <w:bottom w:val="none" w:sz="0" w:space="0" w:color="auto"/>
                                        <w:right w:val="none" w:sz="0" w:space="0" w:color="auto"/>
                                      </w:divBdr>
                                      <w:divsChild>
                                        <w:div w:id="280961679">
                                          <w:marLeft w:val="0"/>
                                          <w:marRight w:val="0"/>
                                          <w:marTop w:val="0"/>
                                          <w:marBottom w:val="0"/>
                                          <w:divBdr>
                                            <w:top w:val="none" w:sz="0" w:space="0" w:color="auto"/>
                                            <w:left w:val="none" w:sz="0" w:space="0" w:color="auto"/>
                                            <w:bottom w:val="none" w:sz="0" w:space="0" w:color="auto"/>
                                            <w:right w:val="none" w:sz="0" w:space="0" w:color="auto"/>
                                          </w:divBdr>
                                          <w:divsChild>
                                            <w:div w:id="32194635">
                                              <w:marLeft w:val="0"/>
                                              <w:marRight w:val="0"/>
                                              <w:marTop w:val="0"/>
                                              <w:marBottom w:val="0"/>
                                              <w:divBdr>
                                                <w:top w:val="none" w:sz="0" w:space="0" w:color="auto"/>
                                                <w:left w:val="none" w:sz="0" w:space="0" w:color="auto"/>
                                                <w:bottom w:val="none" w:sz="0" w:space="0" w:color="auto"/>
                                                <w:right w:val="none" w:sz="0" w:space="0" w:color="auto"/>
                                              </w:divBdr>
                                              <w:divsChild>
                                                <w:div w:id="1134442827">
                                                  <w:marLeft w:val="0"/>
                                                  <w:marRight w:val="90"/>
                                                  <w:marTop w:val="0"/>
                                                  <w:marBottom w:val="0"/>
                                                  <w:divBdr>
                                                    <w:top w:val="none" w:sz="0" w:space="0" w:color="auto"/>
                                                    <w:left w:val="none" w:sz="0" w:space="0" w:color="auto"/>
                                                    <w:bottom w:val="none" w:sz="0" w:space="0" w:color="auto"/>
                                                    <w:right w:val="none" w:sz="0" w:space="0" w:color="auto"/>
                                                  </w:divBdr>
                                                  <w:divsChild>
                                                    <w:div w:id="1253707188">
                                                      <w:marLeft w:val="0"/>
                                                      <w:marRight w:val="0"/>
                                                      <w:marTop w:val="0"/>
                                                      <w:marBottom w:val="0"/>
                                                      <w:divBdr>
                                                        <w:top w:val="none" w:sz="0" w:space="0" w:color="auto"/>
                                                        <w:left w:val="none" w:sz="0" w:space="0" w:color="auto"/>
                                                        <w:bottom w:val="none" w:sz="0" w:space="0" w:color="auto"/>
                                                        <w:right w:val="none" w:sz="0" w:space="0" w:color="auto"/>
                                                      </w:divBdr>
                                                      <w:divsChild>
                                                        <w:div w:id="538202757">
                                                          <w:marLeft w:val="0"/>
                                                          <w:marRight w:val="0"/>
                                                          <w:marTop w:val="0"/>
                                                          <w:marBottom w:val="0"/>
                                                          <w:divBdr>
                                                            <w:top w:val="none" w:sz="0" w:space="0" w:color="auto"/>
                                                            <w:left w:val="none" w:sz="0" w:space="0" w:color="auto"/>
                                                            <w:bottom w:val="none" w:sz="0" w:space="0" w:color="auto"/>
                                                            <w:right w:val="none" w:sz="0" w:space="0" w:color="auto"/>
                                                          </w:divBdr>
                                                          <w:divsChild>
                                                            <w:div w:id="425656681">
                                                              <w:marLeft w:val="0"/>
                                                              <w:marRight w:val="0"/>
                                                              <w:marTop w:val="0"/>
                                                              <w:marBottom w:val="0"/>
                                                              <w:divBdr>
                                                                <w:top w:val="none" w:sz="0" w:space="0" w:color="auto"/>
                                                                <w:left w:val="none" w:sz="0" w:space="0" w:color="auto"/>
                                                                <w:bottom w:val="none" w:sz="0" w:space="0" w:color="auto"/>
                                                                <w:right w:val="none" w:sz="0" w:space="0" w:color="auto"/>
                                                              </w:divBdr>
                                                              <w:divsChild>
                                                                <w:div w:id="1610503678">
                                                                  <w:marLeft w:val="0"/>
                                                                  <w:marRight w:val="0"/>
                                                                  <w:marTop w:val="0"/>
                                                                  <w:marBottom w:val="105"/>
                                                                  <w:divBdr>
                                                                    <w:top w:val="single" w:sz="6" w:space="0" w:color="EDEDED"/>
                                                                    <w:left w:val="single" w:sz="6" w:space="0" w:color="EDEDED"/>
                                                                    <w:bottom w:val="single" w:sz="6" w:space="0" w:color="EDEDED"/>
                                                                    <w:right w:val="single" w:sz="6" w:space="0" w:color="EDEDED"/>
                                                                  </w:divBdr>
                                                                  <w:divsChild>
                                                                    <w:div w:id="746876911">
                                                                      <w:marLeft w:val="0"/>
                                                                      <w:marRight w:val="0"/>
                                                                      <w:marTop w:val="0"/>
                                                                      <w:marBottom w:val="0"/>
                                                                      <w:divBdr>
                                                                        <w:top w:val="none" w:sz="0" w:space="0" w:color="auto"/>
                                                                        <w:left w:val="none" w:sz="0" w:space="0" w:color="auto"/>
                                                                        <w:bottom w:val="none" w:sz="0" w:space="0" w:color="auto"/>
                                                                        <w:right w:val="none" w:sz="0" w:space="0" w:color="auto"/>
                                                                      </w:divBdr>
                                                                      <w:divsChild>
                                                                        <w:div w:id="1946424673">
                                                                          <w:marLeft w:val="0"/>
                                                                          <w:marRight w:val="0"/>
                                                                          <w:marTop w:val="0"/>
                                                                          <w:marBottom w:val="0"/>
                                                                          <w:divBdr>
                                                                            <w:top w:val="none" w:sz="0" w:space="0" w:color="auto"/>
                                                                            <w:left w:val="none" w:sz="0" w:space="0" w:color="auto"/>
                                                                            <w:bottom w:val="none" w:sz="0" w:space="0" w:color="auto"/>
                                                                            <w:right w:val="none" w:sz="0" w:space="0" w:color="auto"/>
                                                                          </w:divBdr>
                                                                          <w:divsChild>
                                                                            <w:div w:id="655501731">
                                                                              <w:marLeft w:val="0"/>
                                                                              <w:marRight w:val="0"/>
                                                                              <w:marTop w:val="0"/>
                                                                              <w:marBottom w:val="0"/>
                                                                              <w:divBdr>
                                                                                <w:top w:val="none" w:sz="0" w:space="0" w:color="auto"/>
                                                                                <w:left w:val="none" w:sz="0" w:space="0" w:color="auto"/>
                                                                                <w:bottom w:val="none" w:sz="0" w:space="0" w:color="auto"/>
                                                                                <w:right w:val="none" w:sz="0" w:space="0" w:color="auto"/>
                                                                              </w:divBdr>
                                                                              <w:divsChild>
                                                                                <w:div w:id="370230238">
                                                                                  <w:marLeft w:val="180"/>
                                                                                  <w:marRight w:val="180"/>
                                                                                  <w:marTop w:val="0"/>
                                                                                  <w:marBottom w:val="0"/>
                                                                                  <w:divBdr>
                                                                                    <w:top w:val="none" w:sz="0" w:space="0" w:color="auto"/>
                                                                                    <w:left w:val="none" w:sz="0" w:space="0" w:color="auto"/>
                                                                                    <w:bottom w:val="none" w:sz="0" w:space="0" w:color="auto"/>
                                                                                    <w:right w:val="none" w:sz="0" w:space="0" w:color="auto"/>
                                                                                  </w:divBdr>
                                                                                  <w:divsChild>
                                                                                    <w:div w:id="734855539">
                                                                                      <w:marLeft w:val="0"/>
                                                                                      <w:marRight w:val="0"/>
                                                                                      <w:marTop w:val="0"/>
                                                                                      <w:marBottom w:val="0"/>
                                                                                      <w:divBdr>
                                                                                        <w:top w:val="none" w:sz="0" w:space="0" w:color="auto"/>
                                                                                        <w:left w:val="none" w:sz="0" w:space="0" w:color="auto"/>
                                                                                        <w:bottom w:val="none" w:sz="0" w:space="0" w:color="auto"/>
                                                                                        <w:right w:val="none" w:sz="0" w:space="0" w:color="auto"/>
                                                                                      </w:divBdr>
                                                                                      <w:divsChild>
                                                                                        <w:div w:id="13483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2721">
      <w:bodyDiv w:val="1"/>
      <w:marLeft w:val="0"/>
      <w:marRight w:val="0"/>
      <w:marTop w:val="0"/>
      <w:marBottom w:val="0"/>
      <w:divBdr>
        <w:top w:val="none" w:sz="0" w:space="0" w:color="auto"/>
        <w:left w:val="none" w:sz="0" w:space="0" w:color="auto"/>
        <w:bottom w:val="none" w:sz="0" w:space="0" w:color="auto"/>
        <w:right w:val="none" w:sz="0" w:space="0" w:color="auto"/>
      </w:divBdr>
    </w:div>
    <w:div w:id="652560969">
      <w:bodyDiv w:val="1"/>
      <w:marLeft w:val="0"/>
      <w:marRight w:val="0"/>
      <w:marTop w:val="0"/>
      <w:marBottom w:val="0"/>
      <w:divBdr>
        <w:top w:val="none" w:sz="0" w:space="0" w:color="auto"/>
        <w:left w:val="none" w:sz="0" w:space="0" w:color="auto"/>
        <w:bottom w:val="none" w:sz="0" w:space="0" w:color="auto"/>
        <w:right w:val="none" w:sz="0" w:space="0" w:color="auto"/>
      </w:divBdr>
    </w:div>
    <w:div w:id="667946339">
      <w:bodyDiv w:val="1"/>
      <w:marLeft w:val="0"/>
      <w:marRight w:val="0"/>
      <w:marTop w:val="0"/>
      <w:marBottom w:val="0"/>
      <w:divBdr>
        <w:top w:val="none" w:sz="0" w:space="0" w:color="auto"/>
        <w:left w:val="none" w:sz="0" w:space="0" w:color="auto"/>
        <w:bottom w:val="none" w:sz="0" w:space="0" w:color="auto"/>
        <w:right w:val="none" w:sz="0" w:space="0" w:color="auto"/>
      </w:divBdr>
    </w:div>
    <w:div w:id="735323478">
      <w:bodyDiv w:val="1"/>
      <w:marLeft w:val="0"/>
      <w:marRight w:val="0"/>
      <w:marTop w:val="0"/>
      <w:marBottom w:val="0"/>
      <w:divBdr>
        <w:top w:val="none" w:sz="0" w:space="0" w:color="auto"/>
        <w:left w:val="none" w:sz="0" w:space="0" w:color="auto"/>
        <w:bottom w:val="none" w:sz="0" w:space="0" w:color="auto"/>
        <w:right w:val="none" w:sz="0" w:space="0" w:color="auto"/>
      </w:divBdr>
    </w:div>
    <w:div w:id="834803474">
      <w:bodyDiv w:val="1"/>
      <w:marLeft w:val="0"/>
      <w:marRight w:val="0"/>
      <w:marTop w:val="0"/>
      <w:marBottom w:val="0"/>
      <w:divBdr>
        <w:top w:val="none" w:sz="0" w:space="0" w:color="auto"/>
        <w:left w:val="none" w:sz="0" w:space="0" w:color="auto"/>
        <w:bottom w:val="none" w:sz="0" w:space="0" w:color="auto"/>
        <w:right w:val="none" w:sz="0" w:space="0" w:color="auto"/>
      </w:divBdr>
    </w:div>
    <w:div w:id="867569717">
      <w:bodyDiv w:val="1"/>
      <w:marLeft w:val="0"/>
      <w:marRight w:val="0"/>
      <w:marTop w:val="0"/>
      <w:marBottom w:val="0"/>
      <w:divBdr>
        <w:top w:val="none" w:sz="0" w:space="0" w:color="auto"/>
        <w:left w:val="none" w:sz="0" w:space="0" w:color="auto"/>
        <w:bottom w:val="none" w:sz="0" w:space="0" w:color="auto"/>
        <w:right w:val="none" w:sz="0" w:space="0" w:color="auto"/>
      </w:divBdr>
    </w:div>
    <w:div w:id="1358971301">
      <w:bodyDiv w:val="1"/>
      <w:marLeft w:val="0"/>
      <w:marRight w:val="0"/>
      <w:marTop w:val="0"/>
      <w:marBottom w:val="0"/>
      <w:divBdr>
        <w:top w:val="none" w:sz="0" w:space="0" w:color="auto"/>
        <w:left w:val="none" w:sz="0" w:space="0" w:color="auto"/>
        <w:bottom w:val="none" w:sz="0" w:space="0" w:color="auto"/>
        <w:right w:val="none" w:sz="0" w:space="0" w:color="auto"/>
      </w:divBdr>
    </w:div>
    <w:div w:id="1396709426">
      <w:bodyDiv w:val="1"/>
      <w:marLeft w:val="0"/>
      <w:marRight w:val="0"/>
      <w:marTop w:val="0"/>
      <w:marBottom w:val="0"/>
      <w:divBdr>
        <w:top w:val="none" w:sz="0" w:space="0" w:color="auto"/>
        <w:left w:val="none" w:sz="0" w:space="0" w:color="auto"/>
        <w:bottom w:val="none" w:sz="0" w:space="0" w:color="auto"/>
        <w:right w:val="none" w:sz="0" w:space="0" w:color="auto"/>
      </w:divBdr>
    </w:div>
    <w:div w:id="1605066353">
      <w:bodyDiv w:val="1"/>
      <w:marLeft w:val="0"/>
      <w:marRight w:val="0"/>
      <w:marTop w:val="0"/>
      <w:marBottom w:val="0"/>
      <w:divBdr>
        <w:top w:val="none" w:sz="0" w:space="0" w:color="auto"/>
        <w:left w:val="none" w:sz="0" w:space="0" w:color="auto"/>
        <w:bottom w:val="none" w:sz="0" w:space="0" w:color="auto"/>
        <w:right w:val="none" w:sz="0" w:space="0" w:color="auto"/>
      </w:divBdr>
    </w:div>
    <w:div w:id="1662541736">
      <w:bodyDiv w:val="1"/>
      <w:marLeft w:val="0"/>
      <w:marRight w:val="0"/>
      <w:marTop w:val="0"/>
      <w:marBottom w:val="0"/>
      <w:divBdr>
        <w:top w:val="none" w:sz="0" w:space="0" w:color="auto"/>
        <w:left w:val="none" w:sz="0" w:space="0" w:color="auto"/>
        <w:bottom w:val="none" w:sz="0" w:space="0" w:color="auto"/>
        <w:right w:val="none" w:sz="0" w:space="0" w:color="auto"/>
      </w:divBdr>
    </w:div>
    <w:div w:id="1951083103">
      <w:bodyDiv w:val="1"/>
      <w:marLeft w:val="0"/>
      <w:marRight w:val="0"/>
      <w:marTop w:val="0"/>
      <w:marBottom w:val="0"/>
      <w:divBdr>
        <w:top w:val="none" w:sz="0" w:space="0" w:color="auto"/>
        <w:left w:val="none" w:sz="0" w:space="0" w:color="auto"/>
        <w:bottom w:val="none" w:sz="0" w:space="0" w:color="auto"/>
        <w:right w:val="none" w:sz="0" w:space="0" w:color="auto"/>
      </w:divBdr>
    </w:div>
    <w:div w:id="208609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_rels/footer1.xml.rels><?xml version="1.0" encoding="UTF-8" standalone="yes"?>
<Relationships xmlns="http://schemas.openxmlformats.org/package/2006/relationships"><Relationship Id="rId2" Type="http://schemas.openxmlformats.org/officeDocument/2006/relationships/hyperlink" Target="http://www.sesma.gr" TargetMode="External"/><Relationship Id="rId1" Type="http://schemas.openxmlformats.org/officeDocument/2006/relationships/hyperlink" Target="mailto:info@sesm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Sesma\Desktop\SESMA%20DOCS\DEIKTHS%20GMCCI\B%20TRIMHNO%202021\&#917;&#769;&#961;&#949;&#965;&#957;&#945;%20&#931;&#917;&#931;&#924;&#913;%20-%20&#931;&#965;&#769;&#957;&#952;&#949;&#964;&#959;&#962;%20&#916;&#949;&#953;&#769;&#954;&#964;&#951;&#962;%20final%20data%20II%202021.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esma\Desktop\SESMA%20DOCS\DEIKTHS%20GMCCI\B%20TRIMHNO%202021\&#917;&#769;&#961;&#949;&#965;&#957;&#945;%20&#931;&#917;&#931;&#924;&#913;%20-%20&#931;&#965;&#769;&#957;&#952;&#949;&#964;&#959;&#962;%20&#916;&#949;&#953;&#769;&#954;&#964;&#951;&#962;%20final%20data%20II%202021.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esma\Desktop\SESMA%20DOCS\DEIKTHS%20GMCCI\B%20TRIMHNO%202021\&#917;&#769;&#961;&#949;&#965;&#957;&#945;%20&#931;&#917;&#931;&#924;&#913;%20-%20&#931;&#965;&#769;&#957;&#952;&#949;&#964;&#959;&#962;%20&#916;&#949;&#953;&#769;&#954;&#964;&#951;&#962;%20final%20data%20II%202021.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esma\Desktop\SESMA%20DOCS\DEIKTHS%20GMCCI\B%20TRIMHNO%202021\&#917;&#769;&#961;&#949;&#965;&#957;&#945;%20&#931;&#917;&#931;&#924;&#913;%20-%20&#917;&#957;&#959;&#769;&#964;&#951;&#964;&#945;%20&#916;%20final%20data%20II%20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Sesma\Desktop\SESMA%20DOCS\DEIKTHS%20GMCCI\B%20TRIMHNO%202021\&#917;&#769;&#961;&#949;&#965;&#957;&#945;%20&#931;&#917;&#931;&#924;&#913;%20-%20&#917;&#957;&#959;&#769;&#964;&#951;&#964;&#945;%20&#916;%20final%20data%20II%2020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Sesma\Desktop\SESMA%20DOCS\DEIKTHS%20GMCCI\B%20TRIMHNO%202021\&#917;&#769;&#961;&#949;&#965;&#957;&#945;%20&#931;&#917;&#931;&#924;&#913;%20-%20&#917;&#957;&#959;&#769;&#964;&#951;&#964;&#945;%20&#916;%20final%20data%20II%202021.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537978942008689E-2"/>
          <c:y val="5.0925925925925923E-2"/>
          <c:w val="0.91805786401411138"/>
          <c:h val="0.80470618256051329"/>
        </c:manualLayout>
      </c:layout>
      <c:barChart>
        <c:barDir val="col"/>
        <c:grouping val="clustered"/>
        <c:varyColors val="0"/>
        <c:ser>
          <c:idx val="0"/>
          <c:order val="0"/>
          <c:tx>
            <c:strRef>
              <c:f>Sheet1!$G$1</c:f>
              <c:strCache>
                <c:ptCount val="1"/>
                <c:pt idx="0">
                  <c:v>GMCCI</c:v>
                </c:pt>
              </c:strCache>
            </c:strRef>
          </c:tx>
          <c:spPr>
            <a:solidFill>
              <a:srgbClr val="0077BE"/>
            </a:solidFill>
            <a:ln>
              <a:noFill/>
            </a:ln>
            <a:effectLst/>
          </c:spPr>
          <c:invertIfNegative val="0"/>
          <c:dPt>
            <c:idx val="29"/>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01-0128-664F-92A7-9D7C6C7C64E0}"/>
              </c:ext>
            </c:extLst>
          </c:dPt>
          <c:dLbls>
            <c:dLbl>
              <c:idx val="1"/>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noAutofit/>
                </a:bodyPr>
                <a:lstStyle/>
                <a:p>
                  <a:pPr>
                    <a:defRPr sz="800" b="1" i="0" u="none" strike="noStrike" kern="1200" baseline="0">
                      <a:solidFill>
                        <a:srgbClr val="0070C0"/>
                      </a:solidFill>
                      <a:latin typeface="+mn-lt"/>
                      <a:ea typeface="+mn-ea"/>
                      <a:cs typeface="+mn-cs"/>
                    </a:defRPr>
                  </a:pPr>
                  <a:endParaRPr lang="el-G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128-664F-92A7-9D7C6C7C64E0}"/>
                </c:ext>
                <c:ext xmlns:c15="http://schemas.microsoft.com/office/drawing/2012/chart" uri="{CE6537A1-D6FC-4f65-9D91-7224C49458BB}">
                  <c15:spPr xmlns:c15="http://schemas.microsoft.com/office/drawing/2012/chart">
                    <a:prstGeom prst="rect">
                      <a:avLst/>
                    </a:prstGeom>
                    <a:noFill/>
                    <a:ln>
                      <a:noFill/>
                    </a:ln>
                  </c15:spPr>
                </c:ext>
              </c:extLst>
            </c:dLbl>
            <c:dLbl>
              <c:idx val="17"/>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noAutofit/>
                </a:bodyPr>
                <a:lstStyle/>
                <a:p>
                  <a:pPr>
                    <a:defRPr sz="800" b="1" i="0" u="none" strike="noStrike" kern="1200" baseline="0">
                      <a:solidFill>
                        <a:srgbClr val="0070C0"/>
                      </a:solidFill>
                      <a:latin typeface="+mn-lt"/>
                      <a:ea typeface="+mn-ea"/>
                      <a:cs typeface="+mn-cs"/>
                    </a:defRPr>
                  </a:pPr>
                  <a:endParaRPr lang="el-G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128-664F-92A7-9D7C6C7C64E0}"/>
                </c:ext>
                <c:ext xmlns:c15="http://schemas.microsoft.com/office/drawing/2012/chart" uri="{CE6537A1-D6FC-4f65-9D91-7224C49458BB}">
                  <c15:spPr xmlns:c15="http://schemas.microsoft.com/office/drawing/2012/chart">
                    <a:prstGeom prst="rect">
                      <a:avLst/>
                    </a:prstGeom>
                    <a:noFill/>
                    <a:ln>
                      <a:noFill/>
                    </a:ln>
                  </c15:spPr>
                </c:ext>
              </c:extLst>
            </c:dLbl>
            <c:dLbl>
              <c:idx val="25"/>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noAutofit/>
                </a:bodyPr>
                <a:lstStyle/>
                <a:p>
                  <a:pPr>
                    <a:defRPr sz="800" b="1" i="0" u="none" strike="noStrike" kern="1200" baseline="0">
                      <a:solidFill>
                        <a:srgbClr val="0070C0"/>
                      </a:solidFill>
                      <a:latin typeface="+mn-lt"/>
                      <a:ea typeface="+mn-ea"/>
                      <a:cs typeface="+mn-cs"/>
                    </a:defRPr>
                  </a:pPr>
                  <a:endParaRPr lang="el-G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128-664F-92A7-9D7C6C7C64E0}"/>
                </c:ext>
                <c:ext xmlns:c15="http://schemas.microsoft.com/office/drawing/2012/chart" uri="{CE6537A1-D6FC-4f65-9D91-7224C49458BB}">
                  <c15:spPr xmlns:c15="http://schemas.microsoft.com/office/drawing/2012/chart">
                    <a:prstGeom prst="rect">
                      <a:avLst/>
                    </a:prstGeom>
                    <a:noFill/>
                    <a:ln>
                      <a:noFill/>
                    </a:ln>
                  </c15:spPr>
                </c:ext>
              </c:extLst>
            </c:dLbl>
            <c:dLbl>
              <c:idx val="29"/>
              <c:spPr>
                <a:noFill/>
                <a:ln>
                  <a:solidFill>
                    <a:srgbClr val="002060"/>
                  </a:solid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002060"/>
                      </a:solidFill>
                      <a:latin typeface="+mn-lt"/>
                      <a:ea typeface="+mn-ea"/>
                      <a:cs typeface="+mn-cs"/>
                    </a:defRPr>
                  </a:pPr>
                  <a:endParaRPr lang="el-GR"/>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0070C0"/>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Sheet1!$A$2:$B$31</c:f>
              <c:multiLvlStrCache>
                <c:ptCount val="3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Ι</c:v>
                  </c:pt>
                  <c:pt idx="17">
                    <c:v>ΙΙ</c:v>
                  </c:pt>
                  <c:pt idx="18">
                    <c:v>ΙΙΙ</c:v>
                  </c:pt>
                  <c:pt idx="19">
                    <c:v>IV</c:v>
                  </c:pt>
                  <c:pt idx="20">
                    <c:v>Ι</c:v>
                  </c:pt>
                  <c:pt idx="21">
                    <c:v>ΙΙ</c:v>
                  </c:pt>
                  <c:pt idx="22">
                    <c:v>ΙΙΙ</c:v>
                  </c:pt>
                  <c:pt idx="23">
                    <c:v>IV</c:v>
                  </c:pt>
                  <c:pt idx="24">
                    <c:v>Ι</c:v>
                  </c:pt>
                  <c:pt idx="25">
                    <c:v>ΙΙ</c:v>
                  </c:pt>
                  <c:pt idx="26">
                    <c:v>ΙΙΙ</c:v>
                  </c:pt>
                  <c:pt idx="27">
                    <c:v>IV</c:v>
                  </c:pt>
                  <c:pt idx="28">
                    <c:v>Ι</c:v>
                  </c:pt>
                  <c:pt idx="29">
                    <c:v>ΙΙ</c:v>
                  </c:pt>
                </c:lvl>
                <c:lvl>
                  <c:pt idx="0">
                    <c:v>2014</c:v>
                  </c:pt>
                  <c:pt idx="4">
                    <c:v>2015</c:v>
                  </c:pt>
                  <c:pt idx="8">
                    <c:v>2016</c:v>
                  </c:pt>
                  <c:pt idx="12">
                    <c:v>2017</c:v>
                  </c:pt>
                  <c:pt idx="16">
                    <c:v>2018</c:v>
                  </c:pt>
                  <c:pt idx="20">
                    <c:v>2019</c:v>
                  </c:pt>
                  <c:pt idx="24">
                    <c:v>2020</c:v>
                  </c:pt>
                  <c:pt idx="28">
                    <c:v>2021</c:v>
                  </c:pt>
                </c:lvl>
              </c:multiLvlStrCache>
            </c:multiLvlStrRef>
          </c:cat>
          <c:val>
            <c:numRef>
              <c:f>Sheet1!$G$2:$G$31</c:f>
              <c:numCache>
                <c:formatCode>#,##0.0</c:formatCode>
                <c:ptCount val="30"/>
                <c:pt idx="0">
                  <c:v>38.833163265306126</c:v>
                </c:pt>
                <c:pt idx="1">
                  <c:v>40.880102040816325</c:v>
                </c:pt>
                <c:pt idx="2">
                  <c:v>33.314285714285717</c:v>
                </c:pt>
                <c:pt idx="3">
                  <c:v>2.7267875235200458</c:v>
                </c:pt>
                <c:pt idx="4">
                  <c:v>-20.255272108843538</c:v>
                </c:pt>
                <c:pt idx="5">
                  <c:v>-36.74396135265701</c:v>
                </c:pt>
                <c:pt idx="6">
                  <c:v>-10.43539827278429</c:v>
                </c:pt>
                <c:pt idx="7">
                  <c:v>-5.1952380952380945</c:v>
                </c:pt>
                <c:pt idx="8">
                  <c:v>-20.175510204081633</c:v>
                </c:pt>
                <c:pt idx="9">
                  <c:v>-12.35969387755102</c:v>
                </c:pt>
                <c:pt idx="10">
                  <c:v>-10.383673469387755</c:v>
                </c:pt>
                <c:pt idx="11">
                  <c:v>-7.8367346938775508</c:v>
                </c:pt>
                <c:pt idx="12">
                  <c:v>-7.481632653061224</c:v>
                </c:pt>
                <c:pt idx="13">
                  <c:v>6.415986394557823</c:v>
                </c:pt>
                <c:pt idx="14">
                  <c:v>14.15</c:v>
                </c:pt>
                <c:pt idx="15">
                  <c:v>16.5</c:v>
                </c:pt>
                <c:pt idx="16">
                  <c:v>17.5</c:v>
                </c:pt>
                <c:pt idx="17">
                  <c:v>18.05</c:v>
                </c:pt>
                <c:pt idx="18">
                  <c:v>14.65</c:v>
                </c:pt>
                <c:pt idx="19">
                  <c:v>22.45</c:v>
                </c:pt>
                <c:pt idx="20">
                  <c:v>23.950000000000003</c:v>
                </c:pt>
                <c:pt idx="21">
                  <c:v>41.25</c:v>
                </c:pt>
                <c:pt idx="22">
                  <c:v>54.150000000000006</c:v>
                </c:pt>
                <c:pt idx="23">
                  <c:v>50.75</c:v>
                </c:pt>
                <c:pt idx="24">
                  <c:v>7.3000000000000007</c:v>
                </c:pt>
                <c:pt idx="25">
                  <c:v>27.450000000000003</c:v>
                </c:pt>
                <c:pt idx="26">
                  <c:v>29.25</c:v>
                </c:pt>
                <c:pt idx="27">
                  <c:v>46.05</c:v>
                </c:pt>
                <c:pt idx="28">
                  <c:v>38.299999999999997</c:v>
                </c:pt>
                <c:pt idx="29">
                  <c:v>52.849999999999994</c:v>
                </c:pt>
              </c:numCache>
            </c:numRef>
          </c:val>
          <c:extLst xmlns:c16r2="http://schemas.microsoft.com/office/drawing/2015/06/chart">
            <c:ext xmlns:c16="http://schemas.microsoft.com/office/drawing/2014/chart" uri="{C3380CC4-5D6E-409C-BE32-E72D297353CC}">
              <c16:uniqueId val="{00000005-0128-664F-92A7-9D7C6C7C64E0}"/>
            </c:ext>
          </c:extLst>
        </c:ser>
        <c:dLbls>
          <c:showLegendKey val="0"/>
          <c:showVal val="0"/>
          <c:showCatName val="0"/>
          <c:showSerName val="0"/>
          <c:showPercent val="0"/>
          <c:showBubbleSize val="0"/>
        </c:dLbls>
        <c:gapWidth val="20"/>
        <c:overlap val="-27"/>
        <c:axId val="-831150144"/>
        <c:axId val="-831145248"/>
      </c:barChart>
      <c:catAx>
        <c:axId val="-83115014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l-GR"/>
          </a:p>
        </c:txPr>
        <c:crossAx val="-831145248"/>
        <c:crosses val="autoZero"/>
        <c:auto val="1"/>
        <c:lblAlgn val="ctr"/>
        <c:lblOffset val="100"/>
        <c:noMultiLvlLbl val="0"/>
      </c:catAx>
      <c:valAx>
        <c:axId val="-831145248"/>
        <c:scaling>
          <c:orientation val="minMax"/>
        </c:scaling>
        <c:delete val="0"/>
        <c:axPos val="l"/>
        <c:majorGridlines>
          <c:spPr>
            <a:ln w="9525" cap="flat" cmpd="sng" algn="ctr">
              <a:no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l-GR"/>
          </a:p>
        </c:txPr>
        <c:crossAx val="-831150144"/>
        <c:crosses val="autoZero"/>
        <c:crossBetween val="between"/>
        <c:majorUnit val="20"/>
      </c:valAx>
      <c:spPr>
        <a:solidFill>
          <a:srgbClr val="CCECFF"/>
        </a:solid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l-GR"/>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225303125452874E-2"/>
          <c:y val="3.7037037037037035E-2"/>
          <c:w val="0.94790435244674165"/>
          <c:h val="0.79544692330125399"/>
        </c:manualLayout>
      </c:layout>
      <c:barChart>
        <c:barDir val="col"/>
        <c:grouping val="clustered"/>
        <c:varyColors val="0"/>
        <c:ser>
          <c:idx val="0"/>
          <c:order val="0"/>
          <c:tx>
            <c:strRef>
              <c:f>Sheet1!$C$1</c:f>
              <c:strCache>
                <c:ptCount val="1"/>
                <c:pt idx="0">
                  <c:v>Οικ Μεγ</c:v>
                </c:pt>
              </c:strCache>
            </c:strRef>
          </c:tx>
          <c:spPr>
            <a:solidFill>
              <a:srgbClr val="0077BE"/>
            </a:solidFill>
            <a:ln>
              <a:noFill/>
            </a:ln>
            <a:effectLst/>
          </c:spPr>
          <c:invertIfNegative val="0"/>
          <c:dPt>
            <c:idx val="29"/>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01-8CCC-224E-8766-86ED714CCFF8}"/>
              </c:ext>
            </c:extLst>
          </c:dPt>
          <c:dLbls>
            <c:dLbl>
              <c:idx val="17"/>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noAutofit/>
                </a:bodyPr>
                <a:lstStyle/>
                <a:p>
                  <a:pPr>
                    <a:defRPr sz="800" b="1" i="0" u="none" strike="noStrike" kern="1200" baseline="0">
                      <a:solidFill>
                        <a:srgbClr val="0070C0"/>
                      </a:solidFill>
                      <a:latin typeface="+mn-lt"/>
                      <a:ea typeface="+mn-ea"/>
                      <a:cs typeface="+mn-cs"/>
                    </a:defRPr>
                  </a:pPr>
                  <a:endParaRPr lang="el-G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CCC-224E-8766-86ED714CCFF8}"/>
                </c:ext>
                <c:ext xmlns:c15="http://schemas.microsoft.com/office/drawing/2012/chart" uri="{CE6537A1-D6FC-4f65-9D91-7224C49458BB}">
                  <c15:spPr xmlns:c15="http://schemas.microsoft.com/office/drawing/2012/chart">
                    <a:prstGeom prst="rect">
                      <a:avLst/>
                    </a:prstGeom>
                    <a:noFill/>
                    <a:ln>
                      <a:noFill/>
                    </a:ln>
                  </c15:spPr>
                </c:ext>
              </c:extLst>
            </c:dLbl>
            <c:dLbl>
              <c:idx val="19"/>
              <c:layout>
                <c:manualLayout>
                  <c:x val="7.3619631901840491E-3"/>
                  <c:y val="-5.09259259259259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CCC-224E-8766-86ED714CCFF8}"/>
                </c:ext>
                <c:ext xmlns:c15="http://schemas.microsoft.com/office/drawing/2012/chart" uri="{CE6537A1-D6FC-4f65-9D91-7224C49458BB}"/>
              </c:extLst>
            </c:dLbl>
            <c:dLbl>
              <c:idx val="22"/>
              <c:layout>
                <c:manualLayout>
                  <c:x val="-2.2085889570552148E-2"/>
                  <c:y val="1.8226888305628463E-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CCC-224E-8766-86ED714CCFF8}"/>
                </c:ext>
                <c:ext xmlns:c15="http://schemas.microsoft.com/office/drawing/2012/chart" uri="{CE6537A1-D6FC-4f65-9D91-7224C49458BB}">
                  <c15:layout>
                    <c:manualLayout>
                      <c:w val="6.6993865030674851E-2"/>
                      <c:h val="5.9097404491105267E-2"/>
                    </c:manualLayout>
                  </c15:layout>
                </c:ext>
              </c:extLst>
            </c:dLbl>
            <c:dLbl>
              <c:idx val="23"/>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noAutofit/>
                </a:bodyPr>
                <a:lstStyle/>
                <a:p>
                  <a:pPr>
                    <a:defRPr sz="800" b="1" i="0" u="none" strike="noStrike" kern="1200" baseline="0">
                      <a:solidFill>
                        <a:srgbClr val="0070C0"/>
                      </a:solidFill>
                      <a:latin typeface="+mn-lt"/>
                      <a:ea typeface="+mn-ea"/>
                      <a:cs typeface="+mn-cs"/>
                    </a:defRPr>
                  </a:pPr>
                  <a:endParaRPr lang="el-GR"/>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CCC-224E-8766-86ED714CCFF8}"/>
                </c:ext>
                <c:ext xmlns:c15="http://schemas.microsoft.com/office/drawing/2012/chart" uri="{CE6537A1-D6FC-4f65-9D91-7224C49458BB}">
                  <c15:spPr xmlns:c15="http://schemas.microsoft.com/office/drawing/2012/chart">
                    <a:prstGeom prst="rect">
                      <a:avLst/>
                    </a:prstGeom>
                    <a:noFill/>
                    <a:ln>
                      <a:noFill/>
                    </a:ln>
                  </c15:spPr>
                </c:ext>
              </c:extLst>
            </c:dLbl>
            <c:dLbl>
              <c:idx val="29"/>
              <c:spPr>
                <a:noFill/>
                <a:ln>
                  <a:solidFill>
                    <a:srgbClr val="002060"/>
                  </a:solid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002060"/>
                      </a:solidFill>
                      <a:latin typeface="+mn-lt"/>
                      <a:ea typeface="+mn-ea"/>
                      <a:cs typeface="+mn-cs"/>
                    </a:defRPr>
                  </a:pPr>
                  <a:endParaRPr lang="el-GR"/>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0070C0"/>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Sheet1!$A$2:$B$31</c:f>
              <c:multiLvlStrCache>
                <c:ptCount val="3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Ι</c:v>
                  </c:pt>
                  <c:pt idx="17">
                    <c:v>ΙΙ</c:v>
                  </c:pt>
                  <c:pt idx="18">
                    <c:v>ΙΙΙ</c:v>
                  </c:pt>
                  <c:pt idx="19">
                    <c:v>IV</c:v>
                  </c:pt>
                  <c:pt idx="20">
                    <c:v>Ι</c:v>
                  </c:pt>
                  <c:pt idx="21">
                    <c:v>ΙΙ</c:v>
                  </c:pt>
                  <c:pt idx="22">
                    <c:v>ΙΙΙ</c:v>
                  </c:pt>
                  <c:pt idx="23">
                    <c:v>IV</c:v>
                  </c:pt>
                  <c:pt idx="24">
                    <c:v>Ι</c:v>
                  </c:pt>
                  <c:pt idx="25">
                    <c:v>ΙΙ</c:v>
                  </c:pt>
                  <c:pt idx="26">
                    <c:v>ΙΙΙ</c:v>
                  </c:pt>
                  <c:pt idx="27">
                    <c:v>IV</c:v>
                  </c:pt>
                  <c:pt idx="28">
                    <c:v>Ι</c:v>
                  </c:pt>
                  <c:pt idx="29">
                    <c:v>ΙΙ</c:v>
                  </c:pt>
                </c:lvl>
                <c:lvl>
                  <c:pt idx="0">
                    <c:v>2014</c:v>
                  </c:pt>
                  <c:pt idx="4">
                    <c:v>2015</c:v>
                  </c:pt>
                  <c:pt idx="8">
                    <c:v>2016</c:v>
                  </c:pt>
                  <c:pt idx="12">
                    <c:v>2017</c:v>
                  </c:pt>
                  <c:pt idx="16">
                    <c:v>2018</c:v>
                  </c:pt>
                  <c:pt idx="20">
                    <c:v>2019</c:v>
                  </c:pt>
                  <c:pt idx="24">
                    <c:v>2020</c:v>
                  </c:pt>
                  <c:pt idx="28">
                    <c:v>2021</c:v>
                  </c:pt>
                </c:lvl>
              </c:multiLvlStrCache>
            </c:multiLvlStrRef>
          </c:cat>
          <c:val>
            <c:numRef>
              <c:f>Sheet1!$C$2:$C$31</c:f>
              <c:numCache>
                <c:formatCode>#,##0.0</c:formatCode>
                <c:ptCount val="30"/>
                <c:pt idx="0">
                  <c:v>43.036734693877555</c:v>
                </c:pt>
                <c:pt idx="1">
                  <c:v>48.698979591836732</c:v>
                </c:pt>
                <c:pt idx="2">
                  <c:v>36.906122448979588</c:v>
                </c:pt>
                <c:pt idx="3">
                  <c:v>3.8209219858156027</c:v>
                </c:pt>
                <c:pt idx="4">
                  <c:v>-15.493877551020409</c:v>
                </c:pt>
                <c:pt idx="5">
                  <c:v>-32.850241545893724</c:v>
                </c:pt>
                <c:pt idx="6">
                  <c:v>-6.6400709219858145</c:v>
                </c:pt>
                <c:pt idx="7">
                  <c:v>-2.7741496598639452</c:v>
                </c:pt>
                <c:pt idx="8">
                  <c:v>-16.751020408163264</c:v>
                </c:pt>
                <c:pt idx="9">
                  <c:v>-4.5663265306122431</c:v>
                </c:pt>
                <c:pt idx="10">
                  <c:v>-7.5673469387755095</c:v>
                </c:pt>
                <c:pt idx="11">
                  <c:v>-1.9346938775510203</c:v>
                </c:pt>
                <c:pt idx="12">
                  <c:v>0.4</c:v>
                </c:pt>
                <c:pt idx="13">
                  <c:v>17.272789115646258</c:v>
                </c:pt>
                <c:pt idx="14">
                  <c:v>25.3</c:v>
                </c:pt>
                <c:pt idx="15">
                  <c:v>31.2</c:v>
                </c:pt>
                <c:pt idx="16">
                  <c:v>25.3</c:v>
                </c:pt>
                <c:pt idx="17">
                  <c:v>29.3</c:v>
                </c:pt>
                <c:pt idx="18">
                  <c:v>28.7</c:v>
                </c:pt>
                <c:pt idx="19">
                  <c:v>29.2</c:v>
                </c:pt>
                <c:pt idx="20">
                  <c:v>30.6</c:v>
                </c:pt>
                <c:pt idx="21">
                  <c:v>43.8</c:v>
                </c:pt>
                <c:pt idx="22">
                  <c:v>53.6</c:v>
                </c:pt>
                <c:pt idx="23">
                  <c:v>53.1</c:v>
                </c:pt>
                <c:pt idx="24">
                  <c:v>-11</c:v>
                </c:pt>
                <c:pt idx="25">
                  <c:v>18.3</c:v>
                </c:pt>
                <c:pt idx="26">
                  <c:v>29.7</c:v>
                </c:pt>
                <c:pt idx="27">
                  <c:v>47.2</c:v>
                </c:pt>
                <c:pt idx="28">
                  <c:v>36.9</c:v>
                </c:pt>
                <c:pt idx="29">
                  <c:v>57.8</c:v>
                </c:pt>
              </c:numCache>
            </c:numRef>
          </c:val>
          <c:extLst xmlns:c16r2="http://schemas.microsoft.com/office/drawing/2015/06/chart">
            <c:ext xmlns:c16="http://schemas.microsoft.com/office/drawing/2014/chart" uri="{C3380CC4-5D6E-409C-BE32-E72D297353CC}">
              <c16:uniqueId val="{00000006-8CCC-224E-8766-86ED714CCFF8}"/>
            </c:ext>
          </c:extLst>
        </c:ser>
        <c:dLbls>
          <c:showLegendKey val="0"/>
          <c:showVal val="0"/>
          <c:showCatName val="0"/>
          <c:showSerName val="0"/>
          <c:showPercent val="0"/>
          <c:showBubbleSize val="0"/>
        </c:dLbls>
        <c:gapWidth val="20"/>
        <c:overlap val="-27"/>
        <c:axId val="-848940240"/>
        <c:axId val="-848945680"/>
      </c:barChart>
      <c:catAx>
        <c:axId val="-84894024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l-GR"/>
          </a:p>
        </c:txPr>
        <c:crossAx val="-848945680"/>
        <c:crosses val="autoZero"/>
        <c:auto val="1"/>
        <c:lblAlgn val="ctr"/>
        <c:lblOffset val="100"/>
        <c:noMultiLvlLbl val="0"/>
      </c:catAx>
      <c:valAx>
        <c:axId val="-848945680"/>
        <c:scaling>
          <c:orientation val="minMax"/>
        </c:scaling>
        <c:delete val="0"/>
        <c:axPos val="l"/>
        <c:majorGridlines>
          <c:spPr>
            <a:ln w="9525" cap="flat" cmpd="sng" algn="ctr">
              <a:no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l-GR"/>
          </a:p>
        </c:txPr>
        <c:crossAx val="-848940240"/>
        <c:crosses val="autoZero"/>
        <c:crossBetween val="between"/>
        <c:majorUnit val="20"/>
      </c:valAx>
      <c:spPr>
        <a:solidFill>
          <a:srgbClr val="CCECFF"/>
        </a:solid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l-GR"/>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887182796132558E-2"/>
          <c:y val="2.5465453181988621E-2"/>
          <c:w val="0.94533356185790474"/>
          <c:h val="0.83954119371442204"/>
        </c:manualLayout>
      </c:layout>
      <c:barChart>
        <c:barDir val="col"/>
        <c:grouping val="clustered"/>
        <c:varyColors val="0"/>
        <c:ser>
          <c:idx val="0"/>
          <c:order val="0"/>
          <c:tx>
            <c:strRef>
              <c:f>Sheet1!$E$1</c:f>
              <c:strCache>
                <c:ptCount val="1"/>
                <c:pt idx="0">
                  <c:v>Παρ Συντ</c:v>
                </c:pt>
              </c:strCache>
            </c:strRef>
          </c:tx>
          <c:spPr>
            <a:solidFill>
              <a:srgbClr val="0077BE"/>
            </a:solidFill>
            <a:ln>
              <a:noFill/>
            </a:ln>
            <a:effectLst/>
          </c:spPr>
          <c:invertIfNegative val="0"/>
          <c:dPt>
            <c:idx val="29"/>
            <c:invertIfNegative val="0"/>
            <c:bubble3D val="0"/>
            <c:spPr>
              <a:solidFill>
                <a:srgbClr val="002060"/>
              </a:solidFill>
              <a:ln>
                <a:noFill/>
              </a:ln>
              <a:effectLst/>
            </c:spPr>
            <c:extLst xmlns:c16r2="http://schemas.microsoft.com/office/drawing/2015/06/chart">
              <c:ext xmlns:c16="http://schemas.microsoft.com/office/drawing/2014/chart" uri="{C3380CC4-5D6E-409C-BE32-E72D297353CC}">
                <c16:uniqueId val="{00000001-B22D-1F4F-836F-D1D840ED93DC}"/>
              </c:ext>
            </c:extLst>
          </c:dPt>
          <c:dLbls>
            <c:dLbl>
              <c:idx val="29"/>
              <c:spPr>
                <a:noFill/>
                <a:ln>
                  <a:solidFill>
                    <a:srgbClr val="002060"/>
                  </a:solid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002060"/>
                      </a:solidFill>
                      <a:latin typeface="+mn-lt"/>
                      <a:ea typeface="+mn-ea"/>
                      <a:cs typeface="+mn-cs"/>
                    </a:defRPr>
                  </a:pPr>
                  <a:endParaRPr lang="el-GR"/>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rgbClr val="0077BE"/>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Sheet1!$A$2:$B$31</c:f>
              <c:multiLvlStrCache>
                <c:ptCount val="30"/>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Ι</c:v>
                  </c:pt>
                  <c:pt idx="17">
                    <c:v>ΙΙ</c:v>
                  </c:pt>
                  <c:pt idx="18">
                    <c:v>ΙΙΙ</c:v>
                  </c:pt>
                  <c:pt idx="19">
                    <c:v>IV</c:v>
                  </c:pt>
                  <c:pt idx="20">
                    <c:v>Ι</c:v>
                  </c:pt>
                  <c:pt idx="21">
                    <c:v>ΙΙ</c:v>
                  </c:pt>
                  <c:pt idx="22">
                    <c:v>ΙΙΙ</c:v>
                  </c:pt>
                  <c:pt idx="23">
                    <c:v>IV</c:v>
                  </c:pt>
                  <c:pt idx="24">
                    <c:v>Ι</c:v>
                  </c:pt>
                  <c:pt idx="25">
                    <c:v>ΙΙ</c:v>
                  </c:pt>
                  <c:pt idx="26">
                    <c:v>ΙΙΙ</c:v>
                  </c:pt>
                  <c:pt idx="27">
                    <c:v>IV</c:v>
                  </c:pt>
                  <c:pt idx="28">
                    <c:v>Ι</c:v>
                  </c:pt>
                  <c:pt idx="29">
                    <c:v>ΙΙ</c:v>
                  </c:pt>
                </c:lvl>
                <c:lvl>
                  <c:pt idx="0">
                    <c:v>2014</c:v>
                  </c:pt>
                  <c:pt idx="4">
                    <c:v>2015</c:v>
                  </c:pt>
                  <c:pt idx="8">
                    <c:v>2016</c:v>
                  </c:pt>
                  <c:pt idx="12">
                    <c:v>2017</c:v>
                  </c:pt>
                  <c:pt idx="16">
                    <c:v>2018</c:v>
                  </c:pt>
                  <c:pt idx="20">
                    <c:v>2019</c:v>
                  </c:pt>
                  <c:pt idx="24">
                    <c:v>2020</c:v>
                  </c:pt>
                  <c:pt idx="28">
                    <c:v>2021</c:v>
                  </c:pt>
                </c:lvl>
              </c:multiLvlStrCache>
            </c:multiLvlStrRef>
          </c:cat>
          <c:val>
            <c:numRef>
              <c:f>Sheet1!$E$2:$E$31</c:f>
              <c:numCache>
                <c:formatCode>#,##0.0</c:formatCode>
                <c:ptCount val="30"/>
                <c:pt idx="0">
                  <c:v>34.62959183673469</c:v>
                </c:pt>
                <c:pt idx="1">
                  <c:v>33.061224489795919</c:v>
                </c:pt>
                <c:pt idx="2">
                  <c:v>29.722448979591839</c:v>
                </c:pt>
                <c:pt idx="3">
                  <c:v>1.6326530612244894</c:v>
                </c:pt>
                <c:pt idx="4">
                  <c:v>-25.016666666666666</c:v>
                </c:pt>
                <c:pt idx="5">
                  <c:v>-40.637681159420289</c:v>
                </c:pt>
                <c:pt idx="6">
                  <c:v>-14.230725623582767</c:v>
                </c:pt>
                <c:pt idx="7">
                  <c:v>-7.6163265306122439</c:v>
                </c:pt>
                <c:pt idx="8">
                  <c:v>-23.6</c:v>
                </c:pt>
                <c:pt idx="9">
                  <c:v>-20.153061224489797</c:v>
                </c:pt>
                <c:pt idx="10">
                  <c:v>-13.2</c:v>
                </c:pt>
                <c:pt idx="11">
                  <c:v>-13.738775510204082</c:v>
                </c:pt>
                <c:pt idx="12">
                  <c:v>-15.363265306122448</c:v>
                </c:pt>
                <c:pt idx="13">
                  <c:v>-4.4408163265306131</c:v>
                </c:pt>
                <c:pt idx="14">
                  <c:v>3</c:v>
                </c:pt>
                <c:pt idx="15">
                  <c:v>1.8</c:v>
                </c:pt>
                <c:pt idx="16">
                  <c:v>9.6999999999999993</c:v>
                </c:pt>
                <c:pt idx="17">
                  <c:v>6.8</c:v>
                </c:pt>
                <c:pt idx="18">
                  <c:v>0.6</c:v>
                </c:pt>
                <c:pt idx="19">
                  <c:v>15.7</c:v>
                </c:pt>
                <c:pt idx="20">
                  <c:v>17.3</c:v>
                </c:pt>
                <c:pt idx="21">
                  <c:v>38.700000000000003</c:v>
                </c:pt>
                <c:pt idx="22">
                  <c:v>54.7</c:v>
                </c:pt>
                <c:pt idx="23">
                  <c:v>48.4</c:v>
                </c:pt>
                <c:pt idx="24">
                  <c:v>25.6</c:v>
                </c:pt>
                <c:pt idx="25">
                  <c:v>36.6</c:v>
                </c:pt>
                <c:pt idx="26">
                  <c:v>28.8</c:v>
                </c:pt>
                <c:pt idx="27">
                  <c:v>44.9</c:v>
                </c:pt>
                <c:pt idx="28">
                  <c:v>39.700000000000003</c:v>
                </c:pt>
                <c:pt idx="29">
                  <c:v>47.9</c:v>
                </c:pt>
              </c:numCache>
            </c:numRef>
          </c:val>
          <c:extLst xmlns:c16r2="http://schemas.microsoft.com/office/drawing/2015/06/chart">
            <c:ext xmlns:c16="http://schemas.microsoft.com/office/drawing/2014/chart" uri="{C3380CC4-5D6E-409C-BE32-E72D297353CC}">
              <c16:uniqueId val="{00000002-B22D-1F4F-836F-D1D840ED93DC}"/>
            </c:ext>
          </c:extLst>
        </c:ser>
        <c:dLbls>
          <c:showLegendKey val="0"/>
          <c:showVal val="0"/>
          <c:showCatName val="0"/>
          <c:showSerName val="0"/>
          <c:showPercent val="0"/>
          <c:showBubbleSize val="0"/>
        </c:dLbls>
        <c:gapWidth val="20"/>
        <c:overlap val="-27"/>
        <c:axId val="-636702816"/>
        <c:axId val="-830267440"/>
      </c:barChart>
      <c:catAx>
        <c:axId val="-63670281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l-GR"/>
          </a:p>
        </c:txPr>
        <c:crossAx val="-830267440"/>
        <c:crosses val="autoZero"/>
        <c:auto val="1"/>
        <c:lblAlgn val="ctr"/>
        <c:lblOffset val="100"/>
        <c:noMultiLvlLbl val="0"/>
      </c:catAx>
      <c:valAx>
        <c:axId val="-830267440"/>
        <c:scaling>
          <c:orientation val="minMax"/>
        </c:scaling>
        <c:delete val="0"/>
        <c:axPos val="l"/>
        <c:majorGridlines>
          <c:spPr>
            <a:ln w="9525" cap="flat" cmpd="sng" algn="ctr">
              <a:no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l-GR"/>
          </a:p>
        </c:txPr>
        <c:crossAx val="-636702816"/>
        <c:crosses val="autoZero"/>
        <c:crossBetween val="between"/>
        <c:majorUnit val="20"/>
      </c:valAx>
      <c:spPr>
        <a:solidFill>
          <a:srgbClr val="CCECFF"/>
        </a:solid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l-GR"/>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CCECFF"/>
              </a:solidFill>
              <a:ln w="19050">
                <a:solidFill>
                  <a:schemeClr val="lt1"/>
                </a:solidFill>
              </a:ln>
              <a:effectLst/>
            </c:spPr>
            <c:extLst xmlns:c16r2="http://schemas.microsoft.com/office/drawing/2015/06/chart">
              <c:ext xmlns:c16="http://schemas.microsoft.com/office/drawing/2014/chart" uri="{C3380CC4-5D6E-409C-BE32-E72D297353CC}">
                <c16:uniqueId val="{00000001-C2B2-5F45-8F39-5D67419954BF}"/>
              </c:ext>
            </c:extLst>
          </c:dPt>
          <c:dPt>
            <c:idx val="1"/>
            <c:bubble3D val="0"/>
            <c:spPr>
              <a:solidFill>
                <a:srgbClr val="0077BE"/>
              </a:solidFill>
              <a:ln w="19050">
                <a:solidFill>
                  <a:schemeClr val="lt1"/>
                </a:solidFill>
              </a:ln>
              <a:effectLst/>
            </c:spPr>
            <c:extLst xmlns:c16r2="http://schemas.microsoft.com/office/drawing/2015/06/chart">
              <c:ext xmlns:c16="http://schemas.microsoft.com/office/drawing/2014/chart" uri="{C3380CC4-5D6E-409C-BE32-E72D297353CC}">
                <c16:uniqueId val="{00000003-C2B2-5F45-8F39-5D67419954BF}"/>
              </c:ext>
            </c:extLst>
          </c:dPt>
          <c:dPt>
            <c:idx val="2"/>
            <c:bubble3D val="0"/>
            <c:spPr>
              <a:solidFill>
                <a:srgbClr val="9C9984"/>
              </a:solidFill>
              <a:ln w="19050">
                <a:solidFill>
                  <a:schemeClr val="lt1"/>
                </a:solidFill>
              </a:ln>
              <a:effectLst/>
            </c:spPr>
            <c:extLst xmlns:c16r2="http://schemas.microsoft.com/office/drawing/2015/06/chart">
              <c:ext xmlns:c16="http://schemas.microsoft.com/office/drawing/2014/chart" uri="{C3380CC4-5D6E-409C-BE32-E72D297353CC}">
                <c16:uniqueId val="{00000005-C2B2-5F45-8F39-5D67419954BF}"/>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2B2-5F45-8F39-5D67419954B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l-G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'1'!$B$2:$E$2</c:f>
              <c:strCache>
                <c:ptCount val="4"/>
                <c:pt idx="0">
                  <c:v>Απαραίτητη</c:v>
                </c:pt>
                <c:pt idx="1">
                  <c:v>Εξαιρετικά σημαντική </c:v>
                </c:pt>
                <c:pt idx="2">
                  <c:v>Χρήσιμη αλλά όχι αναγκαία  </c:v>
                </c:pt>
                <c:pt idx="3">
                  <c:v>Όχι σημαντική</c:v>
                </c:pt>
              </c:strCache>
            </c:strRef>
          </c:cat>
          <c:val>
            <c:numRef>
              <c:f>'1'!$B$74:$E$74</c:f>
              <c:numCache>
                <c:formatCode>#,##0.0</c:formatCode>
                <c:ptCount val="4"/>
                <c:pt idx="0">
                  <c:v>28.787878787878789</c:v>
                </c:pt>
                <c:pt idx="1">
                  <c:v>48.484848484848484</c:v>
                </c:pt>
                <c:pt idx="2">
                  <c:v>22.727272727272727</c:v>
                </c:pt>
                <c:pt idx="3">
                  <c:v>0</c:v>
                </c:pt>
              </c:numCache>
            </c:numRef>
          </c:val>
          <c:extLst xmlns:c16r2="http://schemas.microsoft.com/office/drawing/2015/06/chart">
            <c:ext xmlns:c16="http://schemas.microsoft.com/office/drawing/2014/chart" uri="{C3380CC4-5D6E-409C-BE32-E72D297353CC}">
              <c16:uniqueId val="{00000008-C2B2-5F45-8F39-5D67419954BF}"/>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4166666666666672"/>
          <c:y val="0.22800816564596088"/>
          <c:w val="0.34166666666666667"/>
          <c:h val="0.47453922426363371"/>
        </c:manualLayout>
      </c:layout>
      <c:overlay val="0"/>
      <c:spPr>
        <a:noFill/>
        <a:ln>
          <a:noFill/>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mn-lt"/>
              <a:ea typeface="+mn-ea"/>
              <a:cs typeface="+mn-cs"/>
            </a:defRPr>
          </a:pPr>
          <a:endParaRPr lang="el-GR"/>
        </a:p>
      </c:txPr>
    </c:legend>
    <c:plotVisOnly val="1"/>
    <c:dispBlanksAs val="gap"/>
    <c:showDLblsOverMax val="0"/>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59030627399333091"/>
          <c:y val="0.10739938757655293"/>
          <c:w val="0.38954782787382891"/>
          <c:h val="0.8416746864975212"/>
        </c:manualLayout>
      </c:layout>
      <c:barChart>
        <c:barDir val="bar"/>
        <c:grouping val="clustered"/>
        <c:varyColors val="0"/>
        <c:ser>
          <c:idx val="0"/>
          <c:order val="0"/>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2060"/>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'2&amp;3'!$A$2:$A$8</c:f>
              <c:strCache>
                <c:ptCount val="7"/>
                <c:pt idx="0">
                  <c:v>Χρηματοδότηση βάσει αναμενόμενων χρηματοροών και όχι καλυμμάτων</c:v>
                </c:pt>
                <c:pt idx="1">
                  <c:v>Αναθεώρηση της πολιτικής εγγυήσεων (collaterals policy) </c:v>
                </c:pt>
                <c:pt idx="2">
                  <c:v>Εκπαίδευση και κατάρτιση των στελεχών τους</c:v>
                </c:pt>
                <c:pt idx="3">
                  <c:v>Ανάπτυξη εξελιγμένων εργαλείων credit scoring</c:v>
                </c:pt>
                <c:pt idx="4">
                  <c:v>Ψηφιοποίηση των διαδικασιών τους</c:v>
                </c:pt>
                <c:pt idx="5">
                  <c:v>Μείωση του διαχειριστικού κόστους</c:v>
                </c:pt>
                <c:pt idx="6">
                  <c:v>Αύξηση των επαφών τους με την επιχειρηματική κοινότητα</c:v>
                </c:pt>
              </c:strCache>
            </c:strRef>
          </c:cat>
          <c:val>
            <c:numRef>
              <c:f>'2&amp;3'!$M$2:$M$8</c:f>
              <c:numCache>
                <c:formatCode>#,##0.00</c:formatCode>
                <c:ptCount val="7"/>
                <c:pt idx="0">
                  <c:v>2.2391304347826089</c:v>
                </c:pt>
                <c:pt idx="1">
                  <c:v>2.1428571428571428</c:v>
                </c:pt>
                <c:pt idx="2">
                  <c:v>2.125</c:v>
                </c:pt>
                <c:pt idx="3">
                  <c:v>1.95</c:v>
                </c:pt>
                <c:pt idx="4">
                  <c:v>1.9375</c:v>
                </c:pt>
                <c:pt idx="5">
                  <c:v>1.75</c:v>
                </c:pt>
                <c:pt idx="6">
                  <c:v>1.5</c:v>
                </c:pt>
              </c:numCache>
            </c:numRef>
          </c:val>
          <c:extLst xmlns:c16r2="http://schemas.microsoft.com/office/drawing/2015/06/chart">
            <c:ext xmlns:c16="http://schemas.microsoft.com/office/drawing/2014/chart" uri="{C3380CC4-5D6E-409C-BE32-E72D297353CC}">
              <c16:uniqueId val="{00000000-51FB-2740-A28F-6CD92EBD94C8}"/>
            </c:ext>
          </c:extLst>
        </c:ser>
        <c:dLbls>
          <c:showLegendKey val="0"/>
          <c:showVal val="0"/>
          <c:showCatName val="0"/>
          <c:showSerName val="0"/>
          <c:showPercent val="0"/>
          <c:showBubbleSize val="0"/>
        </c:dLbls>
        <c:gapWidth val="219"/>
        <c:axId val="-723485984"/>
        <c:axId val="-558625472"/>
      </c:barChart>
      <c:catAx>
        <c:axId val="-72348598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mn-lt"/>
                <a:ea typeface="+mn-ea"/>
                <a:cs typeface="+mn-cs"/>
              </a:defRPr>
            </a:pPr>
            <a:endParaRPr lang="el-GR"/>
          </a:p>
        </c:txPr>
        <c:crossAx val="-558625472"/>
        <c:crosses val="autoZero"/>
        <c:auto val="1"/>
        <c:lblAlgn val="ctr"/>
        <c:lblOffset val="100"/>
        <c:noMultiLvlLbl val="0"/>
      </c:catAx>
      <c:valAx>
        <c:axId val="-558625472"/>
        <c:scaling>
          <c:orientation val="minMax"/>
        </c:scaling>
        <c:delete val="0"/>
        <c:axPos val="t"/>
        <c:majorGridlines>
          <c:spPr>
            <a:ln w="9525" cap="flat" cmpd="sng" algn="ctr">
              <a:no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l-GR"/>
          </a:p>
        </c:txPr>
        <c:crossAx val="-72348598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5358107215015384"/>
          <c:y val="0.17916670316099256"/>
          <c:w val="0.39354368473724954"/>
          <c:h val="0.77455644796347067"/>
        </c:manualLayout>
      </c:layout>
      <c:barChart>
        <c:barDir val="bar"/>
        <c:grouping val="clustered"/>
        <c:varyColors val="0"/>
        <c:ser>
          <c:idx val="0"/>
          <c:order val="0"/>
          <c:spPr>
            <a:solidFill>
              <a:srgbClr val="00206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2060"/>
                    </a:solidFill>
                    <a:latin typeface="+mn-lt"/>
                    <a:ea typeface="+mn-ea"/>
                    <a:cs typeface="+mn-cs"/>
                  </a:defRPr>
                </a:pPr>
                <a:endParaRPr lang="el-G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Φύλλο1!$A$1:$A$14</c:f>
              <c:strCache>
                <c:ptCount val="14"/>
                <c:pt idx="0">
                  <c:v>Υλοποίηση δημόσιων έργων και προγραμμάτων</c:v>
                </c:pt>
                <c:pt idx="1">
                  <c:v>Ψηφιακός μετασχηματισμός εταιρειών </c:v>
                </c:pt>
                <c:pt idx="2">
                  <c:v>Αναδιάρθρωση επιχειρήσεων</c:v>
                </c:pt>
                <c:pt idx="3">
                  <c:v>Υποστήριξη ξένων επενδυτών</c:v>
                </c:pt>
                <c:pt idx="4">
                  <c:v>Βελτιστοποίηση εμπειρίας πελάτη</c:v>
                </c:pt>
                <c:pt idx="5">
                  <c:v>Αναδιάρθρωση φορέων του στενού και ευρύτερου δημοσίου τομέα</c:v>
                </c:pt>
                <c:pt idx="6">
                  <c:v>Ανάπτυξη πωλήσεων στην Ελλάδα </c:v>
                </c:pt>
                <c:pt idx="7">
                  <c:v>Ανάπτυξη εξελιγμένων τεχνολογικών εργαλείων όπως Industry 4.0</c:v>
                </c:pt>
                <c:pt idx="8">
                  <c:v>Θέματα βιωσιμότητας και κοινωνικής ευθύνης επιχειρήσεων</c:v>
                </c:pt>
                <c:pt idx="9">
                  <c:v>Βελτίωση εταιρικής διακυβέρνησης</c:v>
                </c:pt>
                <c:pt idx="10">
                  <c:v>Ανάγκη εξεύρεσης επενδυτικών κεφαλαίων μέσω χρηματοδοτικών δράσεων</c:v>
                </c:pt>
                <c:pt idx="11">
                  <c:v>Εκπαίδευση και κατάρτιση στελεχών</c:v>
                </c:pt>
                <c:pt idx="12">
                  <c:v>Ανάπτυξη πωλήσεων στο εξωτερικό</c:v>
                </c:pt>
                <c:pt idx="13">
                  <c:v>Εξαγορές και συγχωνεύσεις εταιρειών</c:v>
                </c:pt>
              </c:strCache>
            </c:strRef>
          </c:cat>
          <c:val>
            <c:numRef>
              <c:f>Φύλλο1!$B$1:$B$14</c:f>
              <c:numCache>
                <c:formatCode>0.00</c:formatCode>
                <c:ptCount val="14"/>
                <c:pt idx="0">
                  <c:v>3.52</c:v>
                </c:pt>
                <c:pt idx="1">
                  <c:v>3.45</c:v>
                </c:pt>
                <c:pt idx="2">
                  <c:v>3.29</c:v>
                </c:pt>
                <c:pt idx="3">
                  <c:v>3.11</c:v>
                </c:pt>
                <c:pt idx="4">
                  <c:v>3.08</c:v>
                </c:pt>
                <c:pt idx="5">
                  <c:v>3.08</c:v>
                </c:pt>
                <c:pt idx="6">
                  <c:v>2.9</c:v>
                </c:pt>
                <c:pt idx="7">
                  <c:v>2.59</c:v>
                </c:pt>
                <c:pt idx="8">
                  <c:v>2.5299999999999998</c:v>
                </c:pt>
                <c:pt idx="9">
                  <c:v>2.4300000000000002</c:v>
                </c:pt>
                <c:pt idx="10">
                  <c:v>2.42</c:v>
                </c:pt>
                <c:pt idx="11">
                  <c:v>2.25</c:v>
                </c:pt>
                <c:pt idx="12">
                  <c:v>2.2000000000000002</c:v>
                </c:pt>
                <c:pt idx="13">
                  <c:v>1.5</c:v>
                </c:pt>
              </c:numCache>
            </c:numRef>
          </c:val>
          <c:extLst xmlns:c16r2="http://schemas.microsoft.com/office/drawing/2015/06/chart">
            <c:ext xmlns:c16="http://schemas.microsoft.com/office/drawing/2014/chart" uri="{C3380CC4-5D6E-409C-BE32-E72D297353CC}">
              <c16:uniqueId val="{00000000-36A4-9742-8948-06E97D3BB4E4}"/>
            </c:ext>
          </c:extLst>
        </c:ser>
        <c:dLbls>
          <c:showLegendKey val="0"/>
          <c:showVal val="0"/>
          <c:showCatName val="0"/>
          <c:showSerName val="0"/>
          <c:showPercent val="0"/>
          <c:showBubbleSize val="0"/>
        </c:dLbls>
        <c:gapWidth val="182"/>
        <c:axId val="-558633088"/>
        <c:axId val="-558633632"/>
      </c:barChart>
      <c:catAx>
        <c:axId val="-55863308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el-GR"/>
          </a:p>
        </c:txPr>
        <c:crossAx val="-558633632"/>
        <c:crosses val="autoZero"/>
        <c:auto val="1"/>
        <c:lblAlgn val="ctr"/>
        <c:lblOffset val="100"/>
        <c:noMultiLvlLbl val="0"/>
      </c:catAx>
      <c:valAx>
        <c:axId val="-558633632"/>
        <c:scaling>
          <c:orientation val="minMax"/>
        </c:scaling>
        <c:delete val="0"/>
        <c:axPos val="t"/>
        <c:majorGridlines>
          <c:spPr>
            <a:ln w="9525" cap="flat" cmpd="sng" algn="ctr">
              <a:no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l-GR"/>
          </a:p>
        </c:txPr>
        <c:crossAx val="-558633088"/>
        <c:crosses val="autoZero"/>
        <c:crossBetween val="between"/>
        <c:majorUnit val="1"/>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l-G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0.17451</cdr:x>
      <cdr:y>0</cdr:y>
    </cdr:from>
    <cdr:to>
      <cdr:x>0.17607</cdr:x>
      <cdr:y>1</cdr:y>
    </cdr:to>
    <cdr:cxnSp macro="">
      <cdr:nvCxnSpPr>
        <cdr:cNvPr id="2" name="Ευθεία γραμμή σύνδεσης 1"/>
        <cdr:cNvCxnSpPr/>
      </cdr:nvCxnSpPr>
      <cdr:spPr>
        <a:xfrm xmlns:a="http://schemas.openxmlformats.org/drawingml/2006/main">
          <a:off x="959647" y="0"/>
          <a:ext cx="8603" cy="2743200"/>
        </a:xfrm>
        <a:prstGeom xmlns:a="http://schemas.openxmlformats.org/drawingml/2006/main" prst="line">
          <a:avLst/>
        </a:prstGeom>
        <a:ln xmlns:a="http://schemas.openxmlformats.org/drawingml/2006/main" w="8890">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0.30038</cdr:x>
      <cdr:y>0</cdr:y>
    </cdr:from>
    <cdr:to>
      <cdr:x>0.30194</cdr:x>
      <cdr:y>1</cdr:y>
    </cdr:to>
    <cdr:cxnSp macro="">
      <cdr:nvCxnSpPr>
        <cdr:cNvPr id="3" name="Ευθεία γραμμή σύνδεσης 2"/>
        <cdr:cNvCxnSpPr/>
      </cdr:nvCxnSpPr>
      <cdr:spPr>
        <a:xfrm xmlns:a="http://schemas.openxmlformats.org/drawingml/2006/main">
          <a:off x="1651797" y="0"/>
          <a:ext cx="8603" cy="2743200"/>
        </a:xfrm>
        <a:prstGeom xmlns:a="http://schemas.openxmlformats.org/drawingml/2006/main" prst="line">
          <a:avLst/>
        </a:prstGeom>
        <a:ln xmlns:a="http://schemas.openxmlformats.org/drawingml/2006/main" w="8890">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0.42278</cdr:x>
      <cdr:y>0</cdr:y>
    </cdr:from>
    <cdr:to>
      <cdr:x>0.42434</cdr:x>
      <cdr:y>1</cdr:y>
    </cdr:to>
    <cdr:cxnSp macro="">
      <cdr:nvCxnSpPr>
        <cdr:cNvPr id="4" name="Ευθεία γραμμή σύνδεσης 3"/>
        <cdr:cNvCxnSpPr/>
      </cdr:nvCxnSpPr>
      <cdr:spPr>
        <a:xfrm xmlns:a="http://schemas.openxmlformats.org/drawingml/2006/main">
          <a:off x="2324897" y="0"/>
          <a:ext cx="8603" cy="2743200"/>
        </a:xfrm>
        <a:prstGeom xmlns:a="http://schemas.openxmlformats.org/drawingml/2006/main" prst="line">
          <a:avLst/>
        </a:prstGeom>
        <a:ln xmlns:a="http://schemas.openxmlformats.org/drawingml/2006/main" w="8890">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0.54518</cdr:x>
      <cdr:y>0</cdr:y>
    </cdr:from>
    <cdr:to>
      <cdr:x>0.54674</cdr:x>
      <cdr:y>1</cdr:y>
    </cdr:to>
    <cdr:cxnSp macro="">
      <cdr:nvCxnSpPr>
        <cdr:cNvPr id="5" name="Ευθεία γραμμή σύνδεσης 4"/>
        <cdr:cNvCxnSpPr/>
      </cdr:nvCxnSpPr>
      <cdr:spPr>
        <a:xfrm xmlns:a="http://schemas.openxmlformats.org/drawingml/2006/main">
          <a:off x="2997997" y="-6851650"/>
          <a:ext cx="8603" cy="2743200"/>
        </a:xfrm>
        <a:prstGeom xmlns:a="http://schemas.openxmlformats.org/drawingml/2006/main" prst="line">
          <a:avLst/>
        </a:prstGeom>
        <a:ln xmlns:a="http://schemas.openxmlformats.org/drawingml/2006/main" w="8890">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0.66874</cdr:x>
      <cdr:y>0</cdr:y>
    </cdr:from>
    <cdr:to>
      <cdr:x>0.6703</cdr:x>
      <cdr:y>1</cdr:y>
    </cdr:to>
    <cdr:cxnSp macro="">
      <cdr:nvCxnSpPr>
        <cdr:cNvPr id="6" name="Ευθεία γραμμή σύνδεσης 5"/>
        <cdr:cNvCxnSpPr/>
      </cdr:nvCxnSpPr>
      <cdr:spPr>
        <a:xfrm xmlns:a="http://schemas.openxmlformats.org/drawingml/2006/main">
          <a:off x="3677447" y="-6851650"/>
          <a:ext cx="8603" cy="2743200"/>
        </a:xfrm>
        <a:prstGeom xmlns:a="http://schemas.openxmlformats.org/drawingml/2006/main" prst="line">
          <a:avLst/>
        </a:prstGeom>
        <a:ln xmlns:a="http://schemas.openxmlformats.org/drawingml/2006/main" w="8890">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0.78998</cdr:x>
      <cdr:y>0</cdr:y>
    </cdr:from>
    <cdr:to>
      <cdr:x>0.79155</cdr:x>
      <cdr:y>1</cdr:y>
    </cdr:to>
    <cdr:cxnSp macro="">
      <cdr:nvCxnSpPr>
        <cdr:cNvPr id="7" name="Ευθεία γραμμή σύνδεσης 6"/>
        <cdr:cNvCxnSpPr/>
      </cdr:nvCxnSpPr>
      <cdr:spPr>
        <a:xfrm xmlns:a="http://schemas.openxmlformats.org/drawingml/2006/main">
          <a:off x="4344197" y="0"/>
          <a:ext cx="8603" cy="2743200"/>
        </a:xfrm>
        <a:prstGeom xmlns:a="http://schemas.openxmlformats.org/drawingml/2006/main" prst="line">
          <a:avLst/>
        </a:prstGeom>
        <a:ln xmlns:a="http://schemas.openxmlformats.org/drawingml/2006/main" w="8890">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0.91239</cdr:x>
      <cdr:y>0</cdr:y>
    </cdr:from>
    <cdr:to>
      <cdr:x>0.91395</cdr:x>
      <cdr:y>1</cdr:y>
    </cdr:to>
    <cdr:cxnSp macro="">
      <cdr:nvCxnSpPr>
        <cdr:cNvPr id="8" name="Ευθεία γραμμή σύνδεσης 7"/>
        <cdr:cNvCxnSpPr/>
      </cdr:nvCxnSpPr>
      <cdr:spPr>
        <a:xfrm xmlns:a="http://schemas.openxmlformats.org/drawingml/2006/main">
          <a:off x="5017297" y="0"/>
          <a:ext cx="8603" cy="2743200"/>
        </a:xfrm>
        <a:prstGeom xmlns:a="http://schemas.openxmlformats.org/drawingml/2006/main" prst="line">
          <a:avLst/>
        </a:prstGeom>
        <a:ln xmlns:a="http://schemas.openxmlformats.org/drawingml/2006/main" w="8890">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0.17185</cdr:x>
      <cdr:y>0.00629</cdr:y>
    </cdr:from>
    <cdr:to>
      <cdr:x>0.17357</cdr:x>
      <cdr:y>1</cdr:y>
    </cdr:to>
    <cdr:cxnSp macro="">
      <cdr:nvCxnSpPr>
        <cdr:cNvPr id="2" name="Ευθεία γραμμή σύνδεσης 1"/>
        <cdr:cNvCxnSpPr/>
      </cdr:nvCxnSpPr>
      <cdr:spPr>
        <a:xfrm xmlns:a="http://schemas.openxmlformats.org/drawingml/2006/main">
          <a:off x="889389" y="17255"/>
          <a:ext cx="8878" cy="2725945"/>
        </a:xfrm>
        <a:prstGeom xmlns:a="http://schemas.openxmlformats.org/drawingml/2006/main" prst="line">
          <a:avLst/>
        </a:prstGeom>
        <a:ln xmlns:a="http://schemas.openxmlformats.org/drawingml/2006/main" w="8890">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0.29946</cdr:x>
      <cdr:y>0.00629</cdr:y>
    </cdr:from>
    <cdr:to>
      <cdr:x>0.30118</cdr:x>
      <cdr:y>1</cdr:y>
    </cdr:to>
    <cdr:cxnSp macro="">
      <cdr:nvCxnSpPr>
        <cdr:cNvPr id="3" name="Ευθεία γραμμή σύνδεσης 2"/>
        <cdr:cNvCxnSpPr/>
      </cdr:nvCxnSpPr>
      <cdr:spPr>
        <a:xfrm xmlns:a="http://schemas.openxmlformats.org/drawingml/2006/main">
          <a:off x="1549789" y="17255"/>
          <a:ext cx="8878" cy="2725945"/>
        </a:xfrm>
        <a:prstGeom xmlns:a="http://schemas.openxmlformats.org/drawingml/2006/main" prst="line">
          <a:avLst/>
        </a:prstGeom>
        <a:ln xmlns:a="http://schemas.openxmlformats.org/drawingml/2006/main" w="8890">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0.42707</cdr:x>
      <cdr:y>0.00629</cdr:y>
    </cdr:from>
    <cdr:to>
      <cdr:x>0.42878</cdr:x>
      <cdr:y>1</cdr:y>
    </cdr:to>
    <cdr:cxnSp macro="">
      <cdr:nvCxnSpPr>
        <cdr:cNvPr id="4" name="Ευθεία γραμμή σύνδεσης 3"/>
        <cdr:cNvCxnSpPr/>
      </cdr:nvCxnSpPr>
      <cdr:spPr>
        <a:xfrm xmlns:a="http://schemas.openxmlformats.org/drawingml/2006/main">
          <a:off x="2210189" y="17255"/>
          <a:ext cx="8878" cy="2725945"/>
        </a:xfrm>
        <a:prstGeom xmlns:a="http://schemas.openxmlformats.org/drawingml/2006/main" prst="line">
          <a:avLst/>
        </a:prstGeom>
        <a:ln xmlns:a="http://schemas.openxmlformats.org/drawingml/2006/main" w="8890">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0.55345</cdr:x>
      <cdr:y>0.00629</cdr:y>
    </cdr:from>
    <cdr:to>
      <cdr:x>0.55516</cdr:x>
      <cdr:y>1</cdr:y>
    </cdr:to>
    <cdr:cxnSp macro="">
      <cdr:nvCxnSpPr>
        <cdr:cNvPr id="5" name="Ευθεία γραμμή σύνδεσης 4"/>
        <cdr:cNvCxnSpPr/>
      </cdr:nvCxnSpPr>
      <cdr:spPr>
        <a:xfrm xmlns:a="http://schemas.openxmlformats.org/drawingml/2006/main">
          <a:off x="2864239" y="17255"/>
          <a:ext cx="8878" cy="2725945"/>
        </a:xfrm>
        <a:prstGeom xmlns:a="http://schemas.openxmlformats.org/drawingml/2006/main" prst="line">
          <a:avLst/>
        </a:prstGeom>
        <a:ln xmlns:a="http://schemas.openxmlformats.org/drawingml/2006/main" w="8890">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0.67738</cdr:x>
      <cdr:y>0</cdr:y>
    </cdr:from>
    <cdr:to>
      <cdr:x>0.67909</cdr:x>
      <cdr:y>0.99371</cdr:y>
    </cdr:to>
    <cdr:cxnSp macro="">
      <cdr:nvCxnSpPr>
        <cdr:cNvPr id="6" name="Ευθεία γραμμή σύνδεσης 5"/>
        <cdr:cNvCxnSpPr/>
      </cdr:nvCxnSpPr>
      <cdr:spPr>
        <a:xfrm xmlns:a="http://schemas.openxmlformats.org/drawingml/2006/main">
          <a:off x="3505589" y="-6642100"/>
          <a:ext cx="8878" cy="2725945"/>
        </a:xfrm>
        <a:prstGeom xmlns:a="http://schemas.openxmlformats.org/drawingml/2006/main" prst="line">
          <a:avLst/>
        </a:prstGeom>
        <a:ln xmlns:a="http://schemas.openxmlformats.org/drawingml/2006/main" w="8890">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0.80744</cdr:x>
      <cdr:y>0</cdr:y>
    </cdr:from>
    <cdr:to>
      <cdr:x>0.80915</cdr:x>
      <cdr:y>0.99371</cdr:y>
    </cdr:to>
    <cdr:cxnSp macro="">
      <cdr:nvCxnSpPr>
        <cdr:cNvPr id="7" name="Ευθεία γραμμή σύνδεσης 6"/>
        <cdr:cNvCxnSpPr/>
      </cdr:nvCxnSpPr>
      <cdr:spPr>
        <a:xfrm xmlns:a="http://schemas.openxmlformats.org/drawingml/2006/main">
          <a:off x="4178689" y="-6642100"/>
          <a:ext cx="8878" cy="2725945"/>
        </a:xfrm>
        <a:prstGeom xmlns:a="http://schemas.openxmlformats.org/drawingml/2006/main" prst="line">
          <a:avLst/>
        </a:prstGeom>
        <a:ln xmlns:a="http://schemas.openxmlformats.org/drawingml/2006/main" w="8890">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0.93382</cdr:x>
      <cdr:y>0</cdr:y>
    </cdr:from>
    <cdr:to>
      <cdr:x>0.93553</cdr:x>
      <cdr:y>0.99371</cdr:y>
    </cdr:to>
    <cdr:cxnSp macro="">
      <cdr:nvCxnSpPr>
        <cdr:cNvPr id="8" name="Ευθεία γραμμή σύνδεσης 7"/>
        <cdr:cNvCxnSpPr/>
      </cdr:nvCxnSpPr>
      <cdr:spPr>
        <a:xfrm xmlns:a="http://schemas.openxmlformats.org/drawingml/2006/main">
          <a:off x="4832739" y="0"/>
          <a:ext cx="8878" cy="2725945"/>
        </a:xfrm>
        <a:prstGeom xmlns:a="http://schemas.openxmlformats.org/drawingml/2006/main" prst="line">
          <a:avLst/>
        </a:prstGeom>
        <a:ln xmlns:a="http://schemas.openxmlformats.org/drawingml/2006/main" w="8890">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0.17549</cdr:x>
      <cdr:y>0.01474</cdr:y>
    </cdr:from>
    <cdr:to>
      <cdr:x>0.17729</cdr:x>
      <cdr:y>0.91849</cdr:y>
    </cdr:to>
    <cdr:cxnSp macro="">
      <cdr:nvCxnSpPr>
        <cdr:cNvPr id="2" name="Ευθεία γραμμή σύνδεσης 1"/>
        <cdr:cNvCxnSpPr/>
      </cdr:nvCxnSpPr>
      <cdr:spPr>
        <a:xfrm xmlns:a="http://schemas.openxmlformats.org/drawingml/2006/main">
          <a:off x="870338" y="44450"/>
          <a:ext cx="8926" cy="2725941"/>
        </a:xfrm>
        <a:prstGeom xmlns:a="http://schemas.openxmlformats.org/drawingml/2006/main" prst="line">
          <a:avLst/>
        </a:prstGeom>
        <a:ln xmlns:a="http://schemas.openxmlformats.org/drawingml/2006/main" w="8890">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0.30097</cdr:x>
      <cdr:y>0.01263</cdr:y>
    </cdr:from>
    <cdr:to>
      <cdr:x>0.30277</cdr:x>
      <cdr:y>0.91638</cdr:y>
    </cdr:to>
    <cdr:cxnSp macro="">
      <cdr:nvCxnSpPr>
        <cdr:cNvPr id="3" name="Ευθεία γραμμή σύνδεσης 2"/>
        <cdr:cNvCxnSpPr/>
      </cdr:nvCxnSpPr>
      <cdr:spPr>
        <a:xfrm xmlns:a="http://schemas.openxmlformats.org/drawingml/2006/main">
          <a:off x="1492638" y="38100"/>
          <a:ext cx="8926" cy="2725941"/>
        </a:xfrm>
        <a:prstGeom xmlns:a="http://schemas.openxmlformats.org/drawingml/2006/main" prst="line">
          <a:avLst/>
        </a:prstGeom>
        <a:ln xmlns:a="http://schemas.openxmlformats.org/drawingml/2006/main" w="8890">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0.42645</cdr:x>
      <cdr:y>0.01474</cdr:y>
    </cdr:from>
    <cdr:to>
      <cdr:x>0.42825</cdr:x>
      <cdr:y>0.91849</cdr:y>
    </cdr:to>
    <cdr:cxnSp macro="">
      <cdr:nvCxnSpPr>
        <cdr:cNvPr id="4" name="Ευθεία γραμμή σύνδεσης 3"/>
        <cdr:cNvCxnSpPr/>
      </cdr:nvCxnSpPr>
      <cdr:spPr>
        <a:xfrm xmlns:a="http://schemas.openxmlformats.org/drawingml/2006/main">
          <a:off x="2114938" y="44450"/>
          <a:ext cx="8926" cy="2725941"/>
        </a:xfrm>
        <a:prstGeom xmlns:a="http://schemas.openxmlformats.org/drawingml/2006/main" prst="line">
          <a:avLst/>
        </a:prstGeom>
        <a:ln xmlns:a="http://schemas.openxmlformats.org/drawingml/2006/main" w="8890">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0.55578</cdr:x>
      <cdr:y>0.01895</cdr:y>
    </cdr:from>
    <cdr:to>
      <cdr:x>0.55758</cdr:x>
      <cdr:y>0.9227</cdr:y>
    </cdr:to>
    <cdr:cxnSp macro="">
      <cdr:nvCxnSpPr>
        <cdr:cNvPr id="5" name="Ευθεία γραμμή σύνδεσης 4"/>
        <cdr:cNvCxnSpPr/>
      </cdr:nvCxnSpPr>
      <cdr:spPr>
        <a:xfrm xmlns:a="http://schemas.openxmlformats.org/drawingml/2006/main">
          <a:off x="2756288" y="57150"/>
          <a:ext cx="8926" cy="2725941"/>
        </a:xfrm>
        <a:prstGeom xmlns:a="http://schemas.openxmlformats.org/drawingml/2006/main" prst="line">
          <a:avLst/>
        </a:prstGeom>
        <a:ln xmlns:a="http://schemas.openxmlformats.org/drawingml/2006/main" w="8890">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0.67998</cdr:x>
      <cdr:y>0.01684</cdr:y>
    </cdr:from>
    <cdr:to>
      <cdr:x>0.68178</cdr:x>
      <cdr:y>0.92059</cdr:y>
    </cdr:to>
    <cdr:cxnSp macro="">
      <cdr:nvCxnSpPr>
        <cdr:cNvPr id="6" name="Ευθεία γραμμή σύνδεσης 5"/>
        <cdr:cNvCxnSpPr/>
      </cdr:nvCxnSpPr>
      <cdr:spPr>
        <a:xfrm xmlns:a="http://schemas.openxmlformats.org/drawingml/2006/main">
          <a:off x="3372238" y="50800"/>
          <a:ext cx="8926" cy="2725941"/>
        </a:xfrm>
        <a:prstGeom xmlns:a="http://schemas.openxmlformats.org/drawingml/2006/main" prst="line">
          <a:avLst/>
        </a:prstGeom>
        <a:ln xmlns:a="http://schemas.openxmlformats.org/drawingml/2006/main" w="8890">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0.80802</cdr:x>
      <cdr:y>0</cdr:y>
    </cdr:from>
    <cdr:to>
      <cdr:x>0.80982</cdr:x>
      <cdr:y>0.90375</cdr:y>
    </cdr:to>
    <cdr:cxnSp macro="">
      <cdr:nvCxnSpPr>
        <cdr:cNvPr id="7" name="Ευθεία γραμμή σύνδεσης 6"/>
        <cdr:cNvCxnSpPr/>
      </cdr:nvCxnSpPr>
      <cdr:spPr>
        <a:xfrm xmlns:a="http://schemas.openxmlformats.org/drawingml/2006/main">
          <a:off x="4007238" y="0"/>
          <a:ext cx="8926" cy="2725941"/>
        </a:xfrm>
        <a:prstGeom xmlns:a="http://schemas.openxmlformats.org/drawingml/2006/main" prst="line">
          <a:avLst/>
        </a:prstGeom>
        <a:ln xmlns:a="http://schemas.openxmlformats.org/drawingml/2006/main" w="8890">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0.92966</cdr:x>
      <cdr:y>0.01474</cdr:y>
    </cdr:from>
    <cdr:to>
      <cdr:x>0.93146</cdr:x>
      <cdr:y>0.91849</cdr:y>
    </cdr:to>
    <cdr:cxnSp macro="">
      <cdr:nvCxnSpPr>
        <cdr:cNvPr id="8" name="Ευθεία γραμμή σύνδεσης 7"/>
        <cdr:cNvCxnSpPr/>
      </cdr:nvCxnSpPr>
      <cdr:spPr>
        <a:xfrm xmlns:a="http://schemas.openxmlformats.org/drawingml/2006/main">
          <a:off x="4610488" y="44450"/>
          <a:ext cx="8926" cy="2725941"/>
        </a:xfrm>
        <a:prstGeom xmlns:a="http://schemas.openxmlformats.org/drawingml/2006/main" prst="line">
          <a:avLst/>
        </a:prstGeom>
        <a:ln xmlns:a="http://schemas.openxmlformats.org/drawingml/2006/main" w="8890">
          <a:solidFill>
            <a:schemeClr val="bg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3949E-6BD5-4628-BBE2-C222439F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1333</Words>
  <Characters>7204</Characters>
  <Application>Microsoft Office Word</Application>
  <DocSecurity>0</DocSecurity>
  <Lines>60</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sesma</dc:creator>
  <cp:lastModifiedBy>Kostats Sarris</cp:lastModifiedBy>
  <cp:revision>2</cp:revision>
  <cp:lastPrinted>2020-01-30T10:20:00Z</cp:lastPrinted>
  <dcterms:created xsi:type="dcterms:W3CDTF">2021-07-26T12:36:00Z</dcterms:created>
  <dcterms:modified xsi:type="dcterms:W3CDTF">2021-07-26T12:36:00Z</dcterms:modified>
</cp:coreProperties>
</file>